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7DC" w:rsidRPr="00815CC3" w:rsidRDefault="00CF673F">
      <w:pPr>
        <w:rPr>
          <w:b/>
        </w:rPr>
      </w:pPr>
      <w:r w:rsidRPr="00815CC3">
        <w:rPr>
          <w:b/>
        </w:rPr>
        <w:t>UV a IR záření</w:t>
      </w:r>
    </w:p>
    <w:p w:rsidR="00DF55F9" w:rsidRDefault="00B462C1">
      <w:r>
        <w:t xml:space="preserve">Kombinovaný </w:t>
      </w:r>
      <w:r w:rsidRPr="00A23364">
        <w:rPr>
          <w:b/>
        </w:rPr>
        <w:t>z</w:t>
      </w:r>
      <w:r w:rsidR="00DF55F9" w:rsidRPr="00A23364">
        <w:rPr>
          <w:b/>
        </w:rPr>
        <w:t>droj UV a IR</w:t>
      </w:r>
      <w:r w:rsidR="00DF55F9">
        <w:t>:</w:t>
      </w:r>
    </w:p>
    <w:p w:rsidR="00CF673F" w:rsidRDefault="00CF673F">
      <w:r>
        <w:t>Co potřebuji:</w:t>
      </w:r>
      <w:r w:rsidR="00DF55F9">
        <w:rPr>
          <w:noProof/>
          <w:lang w:eastAsia="cs-CZ"/>
        </w:rPr>
        <w:t xml:space="preserve"> </w:t>
      </w:r>
    </w:p>
    <w:p w:rsidR="002C50CA" w:rsidRDefault="00DF55F9" w:rsidP="00CF673F">
      <w:pPr>
        <w:pStyle w:val="Prosttext"/>
      </w:pPr>
      <w:r>
        <w:t xml:space="preserve">Součástky: </w:t>
      </w:r>
      <w:r w:rsidR="00CF673F">
        <w:t>UV LED 3,4V, 20mA</w:t>
      </w:r>
      <w:r>
        <w:t xml:space="preserve">, </w:t>
      </w:r>
      <w:r w:rsidR="00CF673F">
        <w:t>IR LED 1,2V, 20mA</w:t>
      </w:r>
      <w:r>
        <w:t>, p</w:t>
      </w:r>
      <w:r w:rsidR="00CF673F">
        <w:t>řepínač ON-OFF-ON</w:t>
      </w:r>
      <w:r>
        <w:t>, plochá baterka</w:t>
      </w:r>
      <w:r w:rsidR="00CF673F">
        <w:t xml:space="preserve"> (4,5V)</w:t>
      </w:r>
      <w:r>
        <w:t>, k</w:t>
      </w:r>
      <w:r w:rsidR="00CF673F">
        <w:t>ousek univerzální DPS</w:t>
      </w:r>
      <w:r>
        <w:t>, s</w:t>
      </w:r>
      <w:r w:rsidR="00CF673F">
        <w:t>vorkovnice</w:t>
      </w:r>
      <w:r>
        <w:t xml:space="preserve">, </w:t>
      </w:r>
    </w:p>
    <w:p w:rsidR="00CF673F" w:rsidRDefault="00CF673F" w:rsidP="00CF673F">
      <w:pPr>
        <w:pStyle w:val="Prosttext"/>
      </w:pPr>
      <w:r>
        <w:t>2 rezistor</w:t>
      </w:r>
      <w:r w:rsidR="002C50CA">
        <w:t>y</w:t>
      </w:r>
      <w:r w:rsidR="00DF55F9">
        <w:t xml:space="preserve">: </w:t>
      </w:r>
      <w:r w:rsidR="00B462C1">
        <w:t>R</w:t>
      </w:r>
      <w:r w:rsidR="00B462C1">
        <w:rPr>
          <w:vertAlign w:val="subscript"/>
        </w:rPr>
        <w:t>1</w:t>
      </w:r>
      <w:r w:rsidR="002C50CA">
        <w:rPr>
          <w:vertAlign w:val="subscript"/>
        </w:rPr>
        <w:t xml:space="preserve"> </w:t>
      </w:r>
      <w:r w:rsidR="00DF55F9">
        <w:t>=</w:t>
      </w:r>
      <w:r w:rsidR="002C50CA">
        <w:t xml:space="preserve"> </w:t>
      </w:r>
      <w:r w:rsidR="00DF55F9">
        <w:t>(4,5-3,4)/0,020</w:t>
      </w:r>
      <w:r w:rsidR="002C50CA">
        <w:t xml:space="preserve"> </w:t>
      </w:r>
      <w:r w:rsidR="00DF55F9">
        <w:t>= 67</w:t>
      </w:r>
      <w:r w:rsidR="00B462C1">
        <w:t>Ω</w:t>
      </w:r>
      <w:r w:rsidR="00DF55F9">
        <w:t xml:space="preserve"> a </w:t>
      </w:r>
      <w:proofErr w:type="gramStart"/>
      <w:r w:rsidR="00B462C1">
        <w:t>R</w:t>
      </w:r>
      <w:r w:rsidR="00B462C1">
        <w:rPr>
          <w:vertAlign w:val="subscript"/>
        </w:rPr>
        <w:t>2</w:t>
      </w:r>
      <w:r w:rsidR="002C50CA">
        <w:rPr>
          <w:vertAlign w:val="subscript"/>
        </w:rPr>
        <w:t xml:space="preserve"> </w:t>
      </w:r>
      <w:r w:rsidR="00B462C1">
        <w:rPr>
          <w:vertAlign w:val="subscript"/>
        </w:rPr>
        <w:t xml:space="preserve"> </w:t>
      </w:r>
      <w:r w:rsidR="00DF55F9">
        <w:t>=(4,5</w:t>
      </w:r>
      <w:proofErr w:type="gramEnd"/>
      <w:r w:rsidR="00DF55F9">
        <w:t>-1,2)/0,020</w:t>
      </w:r>
      <w:r w:rsidR="002C50CA">
        <w:t xml:space="preserve"> </w:t>
      </w:r>
      <w:r w:rsidR="00DF55F9">
        <w:t>= 170</w:t>
      </w:r>
      <w:r w:rsidR="00B462C1">
        <w:t>Ω</w:t>
      </w:r>
    </w:p>
    <w:p w:rsidR="00DF55F9" w:rsidRDefault="00DF55F9" w:rsidP="00CF673F">
      <w:pPr>
        <w:pStyle w:val="Prosttext"/>
      </w:pPr>
    </w:p>
    <w:p w:rsidR="002C50CA" w:rsidRDefault="00DF55F9" w:rsidP="00A23364">
      <w:pPr>
        <w:pStyle w:val="Prosttext"/>
      </w:pPr>
      <w:r>
        <w:t>K pájení: páječku, hliník, kalafuna, podložka, nožík</w:t>
      </w:r>
      <w:r w:rsidR="002C50CA">
        <w:t>, drát</w:t>
      </w:r>
    </w:p>
    <w:p w:rsidR="00CF673F" w:rsidRDefault="002C50CA">
      <w:r>
        <w:rPr>
          <w:noProof/>
          <w:lang w:eastAsia="cs-CZ"/>
        </w:rPr>
        <w:drawing>
          <wp:inline distT="0" distB="0" distL="0" distR="0">
            <wp:extent cx="1928495" cy="1689668"/>
            <wp:effectExtent l="5398" t="0" r="952" b="953"/>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1212_2325291.jpg"/>
                    <pic:cNvPicPr/>
                  </pic:nvPicPr>
                  <pic:blipFill rotWithShape="1">
                    <a:blip r:embed="rId5" cstate="print">
                      <a:extLst>
                        <a:ext uri="{28A0092B-C50C-407E-A947-70E740481C1C}">
                          <a14:useLocalDpi xmlns:a14="http://schemas.microsoft.com/office/drawing/2010/main" val="0"/>
                        </a:ext>
                      </a:extLst>
                    </a:blip>
                    <a:srcRect l="16667" t="16941" r="38360" b="30471"/>
                    <a:stretch/>
                  </pic:blipFill>
                  <pic:spPr bwMode="auto">
                    <a:xfrm rot="16200000">
                      <a:off x="0" y="0"/>
                      <a:ext cx="1933001" cy="1693616"/>
                    </a:xfrm>
                    <a:prstGeom prst="rect">
                      <a:avLst/>
                    </a:prstGeom>
                    <a:ln>
                      <a:noFill/>
                    </a:ln>
                    <a:extLst>
                      <a:ext uri="{53640926-AAD7-44D8-BBD7-CCE9431645EC}">
                        <a14:shadowObscured xmlns:a14="http://schemas.microsoft.com/office/drawing/2010/main"/>
                      </a:ext>
                    </a:extLst>
                  </pic:spPr>
                </pic:pic>
              </a:graphicData>
            </a:graphic>
          </wp:inline>
        </w:drawing>
      </w:r>
      <w:r w:rsidR="00DF55F9">
        <w:rPr>
          <w:noProof/>
          <w:lang w:eastAsia="cs-CZ"/>
        </w:rPr>
        <w:drawing>
          <wp:inline distT="0" distB="0" distL="0" distR="0" wp14:anchorId="24298D05" wp14:editId="6913CCBC">
            <wp:extent cx="2225040" cy="1936750"/>
            <wp:effectExtent l="0" t="0" r="3810" b="63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1212_2329198.jpg"/>
                    <pic:cNvPicPr/>
                  </pic:nvPicPr>
                  <pic:blipFill rotWithShape="1">
                    <a:blip r:embed="rId6" cstate="print">
                      <a:extLst>
                        <a:ext uri="{28A0092B-C50C-407E-A947-70E740481C1C}">
                          <a14:useLocalDpi xmlns:a14="http://schemas.microsoft.com/office/drawing/2010/main" val="0"/>
                        </a:ext>
                      </a:extLst>
                    </a:blip>
                    <a:srcRect l="28742" t="24529" r="20502" b="16529"/>
                    <a:stretch/>
                  </pic:blipFill>
                  <pic:spPr bwMode="auto">
                    <a:xfrm rot="10800000">
                      <a:off x="0" y="0"/>
                      <a:ext cx="2235453" cy="1945814"/>
                    </a:xfrm>
                    <a:prstGeom prst="rect">
                      <a:avLst/>
                    </a:prstGeom>
                    <a:ln>
                      <a:noFill/>
                    </a:ln>
                    <a:extLst>
                      <a:ext uri="{53640926-AAD7-44D8-BBD7-CCE9431645EC}">
                        <a14:shadowObscured xmlns:a14="http://schemas.microsoft.com/office/drawing/2010/main"/>
                      </a:ext>
                    </a:extLst>
                  </pic:spPr>
                </pic:pic>
              </a:graphicData>
            </a:graphic>
          </wp:inline>
        </w:drawing>
      </w:r>
      <w:r w:rsidR="00DF55F9">
        <w:rPr>
          <w:noProof/>
          <w:lang w:eastAsia="cs-CZ"/>
        </w:rPr>
        <w:drawing>
          <wp:inline distT="0" distB="0" distL="0" distR="0" wp14:anchorId="75B9F440" wp14:editId="79DC2499">
            <wp:extent cx="1943647" cy="1820909"/>
            <wp:effectExtent l="4127" t="0" r="4128" b="4127"/>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1212_2325473.jpg"/>
                    <pic:cNvPicPr/>
                  </pic:nvPicPr>
                  <pic:blipFill rotWithShape="1">
                    <a:blip r:embed="rId7" cstate="print">
                      <a:extLst>
                        <a:ext uri="{28A0092B-C50C-407E-A947-70E740481C1C}">
                          <a14:useLocalDpi xmlns:a14="http://schemas.microsoft.com/office/drawing/2010/main" val="0"/>
                        </a:ext>
                      </a:extLst>
                    </a:blip>
                    <a:srcRect l="40212" t="18529" r="18385" b="29723"/>
                    <a:stretch/>
                  </pic:blipFill>
                  <pic:spPr bwMode="auto">
                    <a:xfrm rot="16200000">
                      <a:off x="0" y="0"/>
                      <a:ext cx="1951206" cy="1827990"/>
                    </a:xfrm>
                    <a:prstGeom prst="rect">
                      <a:avLst/>
                    </a:prstGeom>
                    <a:ln>
                      <a:noFill/>
                    </a:ln>
                    <a:extLst>
                      <a:ext uri="{53640926-AAD7-44D8-BBD7-CCE9431645EC}">
                        <a14:shadowObscured xmlns:a14="http://schemas.microsoft.com/office/drawing/2010/main"/>
                      </a:ext>
                    </a:extLst>
                  </pic:spPr>
                </pic:pic>
              </a:graphicData>
            </a:graphic>
          </wp:inline>
        </w:drawing>
      </w:r>
    </w:p>
    <w:p w:rsidR="00815CC3" w:rsidRDefault="00815CC3"/>
    <w:p w:rsidR="00815CC3" w:rsidRPr="00815CC3" w:rsidRDefault="00815CC3">
      <w:pPr>
        <w:rPr>
          <w:b/>
        </w:rPr>
      </w:pPr>
      <w:r w:rsidRPr="00815CC3">
        <w:rPr>
          <w:b/>
        </w:rPr>
        <w:t>IR záření</w:t>
      </w:r>
    </w:p>
    <w:p w:rsidR="00815CC3" w:rsidRDefault="00815CC3" w:rsidP="00815CC3">
      <w:pPr>
        <w:jc w:val="both"/>
      </w:pPr>
      <w:r>
        <w:t>IR záření vyzařují všechna tělesa - nazýváme ho také tepelné záření. B</w:t>
      </w:r>
      <w:r w:rsidRPr="007B2618">
        <w:t>ylo objeveno v roce 1</w:t>
      </w:r>
      <w:r>
        <w:t xml:space="preserve"> </w:t>
      </w:r>
      <w:r w:rsidRPr="007B2618">
        <w:t>800 tak, že britský astronom S</w:t>
      </w:r>
      <w:r>
        <w:t xml:space="preserve">ir William </w:t>
      </w:r>
      <w:proofErr w:type="spellStart"/>
      <w:r>
        <w:t>Herschel</w:t>
      </w:r>
      <w:proofErr w:type="spellEnd"/>
      <w:r>
        <w:t xml:space="preserve"> (1738-1822) </w:t>
      </w:r>
      <w:r w:rsidRPr="007B2618">
        <w:t>rozložil sluneční paprsky optickým hranolem a do rozlože</w:t>
      </w:r>
      <w:r>
        <w:t xml:space="preserve">ného spektra umístil teploměry. </w:t>
      </w:r>
      <w:r w:rsidRPr="007B2618">
        <w:t>Naměřená teplota u jednotlivých barev byla vyšší u červené strany spektra. Za červený</w:t>
      </w:r>
      <w:r>
        <w:t>m okrajem spektra byla dokonce ještě vyšší teplota. To dokazovalo, že tam musí existovat nějaké</w:t>
      </w:r>
      <w:r w:rsidRPr="007B2618">
        <w:t xml:space="preserve"> neviditeln</w:t>
      </w:r>
      <w:r>
        <w:t xml:space="preserve">é záření, které přenáší teplo. </w:t>
      </w:r>
      <w:r w:rsidRPr="007B2618">
        <w:t xml:space="preserve">A protože se toto záření </w:t>
      </w:r>
      <w:r>
        <w:t>nachází za červeným pruhem, bylo</w:t>
      </w:r>
      <w:r w:rsidRPr="007B2618">
        <w:t xml:space="preserve"> nazváno infračerveným</w:t>
      </w:r>
      <w:r>
        <w:t>.</w:t>
      </w:r>
    </w:p>
    <w:p w:rsidR="00815CC3" w:rsidRDefault="00815CC3" w:rsidP="00815CC3">
      <w:r>
        <w:t>Nejvýznamnějším zdrojem infračerveného záření je Slunce. IR záření proniká přes mlhu a mraky lépe než viditelné světlo.</w:t>
      </w:r>
    </w:p>
    <w:p w:rsidR="00815CC3" w:rsidRDefault="00815CC3" w:rsidP="00815CC3">
      <w:pPr>
        <w:jc w:val="both"/>
      </w:pPr>
      <w:r>
        <w:t xml:space="preserve">Pokud chceme pracovat s IR zářením, pak nejdostupnější přístroj k jeho zviditelnění je </w:t>
      </w:r>
      <w:r w:rsidRPr="00204B00">
        <w:rPr>
          <w:b/>
        </w:rPr>
        <w:t>mobilní telefon s </w:t>
      </w:r>
      <w:proofErr w:type="spellStart"/>
      <w:r w:rsidRPr="00204B00">
        <w:rPr>
          <w:b/>
        </w:rPr>
        <w:t>foťakem</w:t>
      </w:r>
      <w:proofErr w:type="spellEnd"/>
      <w:r>
        <w:t>. Ty obsahují čipy, které reagují na světlo o vlnové délce až cca 1100nm (oko cca do 780nm). V podstatě nám umožní vidět to, co naše oko samo nevidí. Bohužel na novějších typech mobilů už to nefunguje, protože se tam začali vkládat IR filtry.</w:t>
      </w:r>
    </w:p>
    <w:p w:rsidR="00815CC3" w:rsidRPr="00815CC3" w:rsidRDefault="00815CC3" w:rsidP="00815CC3">
      <w:pPr>
        <w:pStyle w:val="Odstavecseseznamem"/>
        <w:numPr>
          <w:ilvl w:val="0"/>
          <w:numId w:val="1"/>
        </w:numPr>
        <w:jc w:val="both"/>
        <w:rPr>
          <w:rFonts w:ascii="Arial" w:hAnsi="Arial" w:cs="Arial"/>
        </w:rPr>
      </w:pPr>
      <w:r>
        <w:t>Vezměte si mobil, zapněte na něm foťák. Dále potřebujete dálkový ovladač třeba na televizi. Ovladač má v sobě IR diodu, která vysílá</w:t>
      </w:r>
      <w:r w:rsidRPr="006161AF">
        <w:t xml:space="preserve"> </w:t>
      </w:r>
      <w:r w:rsidRPr="00815CC3">
        <w:rPr>
          <w:rFonts w:cs="Arial"/>
        </w:rPr>
        <w:t>impulzy infračerveného záření, na které reaguje čid</w:t>
      </w:r>
      <w:r>
        <w:rPr>
          <w:rFonts w:cs="Arial"/>
        </w:rPr>
        <w:t>lo na přístroji</w:t>
      </w:r>
      <w:r w:rsidRPr="006161AF">
        <w:t>.</w:t>
      </w:r>
      <w:r>
        <w:t xml:space="preserve"> Pouhým okem signál nevidíte, ale s mobilem byste ho vidět mohli.</w:t>
      </w:r>
    </w:p>
    <w:p w:rsidR="00815CC3" w:rsidRPr="00204B00" w:rsidRDefault="00815CC3" w:rsidP="00815CC3">
      <w:pPr>
        <w:jc w:val="both"/>
        <w:rPr>
          <w:rFonts w:ascii="Arial" w:hAnsi="Arial" w:cs="Arial"/>
        </w:rPr>
      </w:pPr>
      <w:r>
        <w:rPr>
          <w:b/>
        </w:rPr>
        <w:t>Kamera s funkcí</w:t>
      </w:r>
      <w:r w:rsidRPr="00204B00">
        <w:rPr>
          <w:b/>
        </w:rPr>
        <w:t xml:space="preserve"> </w:t>
      </w:r>
      <w:proofErr w:type="spellStart"/>
      <w:r w:rsidRPr="00204B00">
        <w:rPr>
          <w:b/>
        </w:rPr>
        <w:t>nightshot</w:t>
      </w:r>
      <w:proofErr w:type="spellEnd"/>
      <w:r>
        <w:t xml:space="preserve"> - Ta je založena</w:t>
      </w:r>
      <w:r w:rsidRPr="00080F2B">
        <w:t xml:space="preserve"> na použití elekt</w:t>
      </w:r>
      <w:r>
        <w:t xml:space="preserve">ronického čipu CCD - </w:t>
      </w:r>
      <w:r w:rsidRPr="006161AF">
        <w:t>integrovaným obvodem vyrobeným na monokrystalickém křemíku</w:t>
      </w:r>
      <w:r>
        <w:t xml:space="preserve">. </w:t>
      </w:r>
      <w:r w:rsidRPr="00080F2B">
        <w:t>Spektrální citlivost této s</w:t>
      </w:r>
      <w:r>
        <w:t xml:space="preserve">oučástky </w:t>
      </w:r>
      <w:r w:rsidRPr="00080F2B">
        <w:t>zasahuje více do infračervené oblasti. Pro běžné využití kamery při snaze o věrné zobrazení snímané scény je tato vlastnost nežádoucí a vedla by ke zkreslení barevného podání obrazu. Proto se před CCD čip předkládá f</w:t>
      </w:r>
      <w:r>
        <w:t>iltr, který IR záření absorbuje. Tato kamera umožňuje</w:t>
      </w:r>
      <w:r w:rsidRPr="00080F2B">
        <w:t xml:space="preserve"> filtr vysunout. Tím se jednak zvýší citlivost kamery a jednak lze snímanou scénu osvětlit „neviditelným“ IR zářením a získat obraz i za úplné tmy.</w:t>
      </w:r>
      <w:r>
        <w:t xml:space="preserve"> </w:t>
      </w:r>
    </w:p>
    <w:p w:rsidR="00815CC3" w:rsidRDefault="00815CC3" w:rsidP="00815CC3">
      <w:pPr>
        <w:pStyle w:val="Odstavecseseznamem"/>
        <w:numPr>
          <w:ilvl w:val="0"/>
          <w:numId w:val="1"/>
        </w:numPr>
        <w:jc w:val="both"/>
      </w:pPr>
      <w:r>
        <w:lastRenderedPageBreak/>
        <w:t>Rozšíření viděného spektra: Jako zdroje IR můžeme použít Slunce, žárovky, svíčky, ale také IR LED diody (např. v </w:t>
      </w:r>
      <w:proofErr w:type="spellStart"/>
      <w:r>
        <w:t>tv</w:t>
      </w:r>
      <w:proofErr w:type="spellEnd"/>
      <w:r>
        <w:t xml:space="preserve"> ovladači). Pokud použijeme např. svíčku a CD (nebo rozkladný hranol), světlo se rozloží na barevné spektrum (na CD je jemná šroubovice – podobně optická mřížka nebo jemná záclona), po zapnutí funkce </w:t>
      </w:r>
      <w:proofErr w:type="spellStart"/>
      <w:r>
        <w:t>nightshot</w:t>
      </w:r>
      <w:proofErr w:type="spellEnd"/>
      <w:r>
        <w:t xml:space="preserve"> uvidíme, že sice zmizí barvy, ale v místě, kde už jsme nic neviděli, uvidíme IR záření.</w:t>
      </w:r>
    </w:p>
    <w:p w:rsidR="00815CC3" w:rsidRDefault="00C47363" w:rsidP="00815CC3">
      <w:pPr>
        <w:pStyle w:val="Odstavecseseznamem"/>
        <w:numPr>
          <w:ilvl w:val="0"/>
          <w:numId w:val="1"/>
        </w:numPr>
        <w:jc w:val="both"/>
      </w:pPr>
      <w:r>
        <w:t>Zprůhlednění neprůhledného; průhledné neprůhledným</w:t>
      </w:r>
    </w:p>
    <w:p w:rsidR="00C47363" w:rsidRDefault="00C47363" w:rsidP="00C47363">
      <w:pPr>
        <w:pStyle w:val="Odstavecseseznamem"/>
        <w:jc w:val="both"/>
      </w:pPr>
      <w:r>
        <w:rPr>
          <w:noProof/>
          <w:lang w:eastAsia="cs-CZ"/>
        </w:rPr>
        <w:drawing>
          <wp:inline distT="0" distB="0" distL="0" distR="0" wp14:anchorId="3EEAC084" wp14:editId="3DF45301">
            <wp:extent cx="3335779" cy="1211580"/>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582" t="53616" r="36376" b="28277"/>
                    <a:stretch/>
                  </pic:blipFill>
                  <pic:spPr bwMode="auto">
                    <a:xfrm>
                      <a:off x="0" y="0"/>
                      <a:ext cx="3365432" cy="1222350"/>
                    </a:xfrm>
                    <a:prstGeom prst="rect">
                      <a:avLst/>
                    </a:prstGeom>
                    <a:ln>
                      <a:noFill/>
                    </a:ln>
                    <a:extLst>
                      <a:ext uri="{53640926-AAD7-44D8-BBD7-CCE9431645EC}">
                        <a14:shadowObscured xmlns:a14="http://schemas.microsoft.com/office/drawing/2010/main"/>
                      </a:ext>
                    </a:extLst>
                  </pic:spPr>
                </pic:pic>
              </a:graphicData>
            </a:graphic>
          </wp:inline>
        </w:drawing>
      </w:r>
    </w:p>
    <w:p w:rsidR="00C47363" w:rsidRDefault="00815CC3" w:rsidP="00637D05">
      <w:pPr>
        <w:jc w:val="both"/>
      </w:pPr>
      <w:proofErr w:type="spellStart"/>
      <w:r w:rsidRPr="00815CC3">
        <w:rPr>
          <w:b/>
        </w:rPr>
        <w:t>T</w:t>
      </w:r>
      <w:r>
        <w:rPr>
          <w:b/>
        </w:rPr>
        <w:t>ermokamera</w:t>
      </w:r>
      <w:proofErr w:type="spellEnd"/>
      <w:r w:rsidR="00C47363">
        <w:t xml:space="preserve"> - </w:t>
      </w:r>
      <w:r w:rsidR="00637D05">
        <w:t>jindy</w:t>
      </w:r>
    </w:p>
    <w:p w:rsidR="00815CC3" w:rsidRDefault="00815CC3" w:rsidP="00815CC3">
      <w:pPr>
        <w:pStyle w:val="Normlnweb"/>
        <w:shd w:val="clear" w:color="auto" w:fill="FFFFFF"/>
        <w:jc w:val="both"/>
        <w:rPr>
          <w:rFonts w:asciiTheme="minorHAnsi" w:hAnsiTheme="minorHAnsi"/>
          <w:color w:val="000000"/>
          <w:sz w:val="22"/>
          <w:szCs w:val="22"/>
        </w:rPr>
      </w:pPr>
      <w:proofErr w:type="spellStart"/>
      <w:r w:rsidRPr="00204B00">
        <w:rPr>
          <w:rFonts w:asciiTheme="minorHAnsi" w:hAnsiTheme="minorHAnsi"/>
          <w:b/>
          <w:color w:val="000000"/>
          <w:sz w:val="22"/>
          <w:szCs w:val="22"/>
        </w:rPr>
        <w:t>Termocitlivé</w:t>
      </w:r>
      <w:proofErr w:type="spellEnd"/>
      <w:r w:rsidRPr="00204B00">
        <w:rPr>
          <w:rFonts w:asciiTheme="minorHAnsi" w:hAnsiTheme="minorHAnsi"/>
          <w:b/>
          <w:color w:val="000000"/>
          <w:sz w:val="22"/>
          <w:szCs w:val="22"/>
        </w:rPr>
        <w:t xml:space="preserve"> fólie</w:t>
      </w:r>
      <w:r>
        <w:rPr>
          <w:rFonts w:asciiTheme="minorHAnsi" w:hAnsiTheme="minorHAnsi"/>
          <w:color w:val="000000"/>
          <w:sz w:val="22"/>
          <w:szCs w:val="22"/>
        </w:rPr>
        <w:t xml:space="preserve"> </w:t>
      </w:r>
      <w:r w:rsidR="00637D05">
        <w:rPr>
          <w:rFonts w:asciiTheme="minorHAnsi" w:hAnsiTheme="minorHAnsi"/>
          <w:color w:val="000000"/>
          <w:sz w:val="22"/>
          <w:szCs w:val="22"/>
        </w:rPr>
        <w:t>- jindy</w:t>
      </w:r>
    </w:p>
    <w:p w:rsidR="00C47363" w:rsidRDefault="002B68C8" w:rsidP="00815CC3">
      <w:pPr>
        <w:pStyle w:val="Normlnweb"/>
        <w:shd w:val="clear" w:color="auto" w:fill="FFFFFF"/>
        <w:jc w:val="both"/>
        <w:rPr>
          <w:rFonts w:asciiTheme="minorHAnsi" w:hAnsiTheme="minorHAnsi"/>
          <w:color w:val="000000"/>
          <w:sz w:val="22"/>
          <w:szCs w:val="22"/>
        </w:rPr>
      </w:pPr>
      <w:r>
        <w:rPr>
          <w:rFonts w:asciiTheme="minorHAnsi" w:hAnsiTheme="minorHAnsi"/>
          <w:color w:val="000000"/>
          <w:sz w:val="22"/>
          <w:szCs w:val="22"/>
        </w:rPr>
        <w:t>Zdroje a další informace</w:t>
      </w:r>
      <w:r w:rsidR="00C47363">
        <w:rPr>
          <w:rFonts w:asciiTheme="minorHAnsi" w:hAnsiTheme="minorHAnsi"/>
          <w:color w:val="000000"/>
          <w:sz w:val="22"/>
          <w:szCs w:val="22"/>
        </w:rPr>
        <w:t xml:space="preserve">: </w:t>
      </w:r>
      <w:hyperlink r:id="rId9" w:history="1">
        <w:r w:rsidR="00C47363" w:rsidRPr="00AB6BFC">
          <w:rPr>
            <w:rStyle w:val="Hypertextovodkaz"/>
            <w:rFonts w:asciiTheme="minorHAnsi" w:hAnsiTheme="minorHAnsi"/>
            <w:sz w:val="22"/>
            <w:szCs w:val="22"/>
          </w:rPr>
          <w:t>http://vnuf.cz/sbornik/prispevky/15-24-Polak.html</w:t>
        </w:r>
      </w:hyperlink>
    </w:p>
    <w:p w:rsidR="004B2578" w:rsidRDefault="004B2578" w:rsidP="00815CC3">
      <w:pPr>
        <w:pStyle w:val="Normlnweb"/>
        <w:shd w:val="clear" w:color="auto" w:fill="FFFFFF"/>
        <w:jc w:val="both"/>
        <w:rPr>
          <w:rFonts w:asciiTheme="minorHAnsi" w:hAnsiTheme="minorHAnsi"/>
          <w:color w:val="000000"/>
          <w:sz w:val="22"/>
          <w:szCs w:val="22"/>
        </w:rPr>
      </w:pPr>
      <w:hyperlink r:id="rId10" w:history="1">
        <w:r w:rsidRPr="00AB6BFC">
          <w:rPr>
            <w:rStyle w:val="Hypertextovodkaz"/>
            <w:rFonts w:asciiTheme="minorHAnsi" w:hAnsiTheme="minorHAnsi"/>
            <w:sz w:val="22"/>
            <w:szCs w:val="22"/>
          </w:rPr>
          <w:t>http://fyzikalnipokusy.cz/1627/propustnost-plastu-pro-tepelne-zareni</w:t>
        </w:r>
      </w:hyperlink>
    </w:p>
    <w:p w:rsidR="002B68C8" w:rsidRDefault="00637D05" w:rsidP="00815CC3">
      <w:pPr>
        <w:pStyle w:val="Normlnweb"/>
        <w:shd w:val="clear" w:color="auto" w:fill="FFFFFF"/>
        <w:jc w:val="both"/>
        <w:rPr>
          <w:rFonts w:asciiTheme="minorHAnsi" w:hAnsiTheme="minorHAnsi"/>
          <w:color w:val="000000"/>
          <w:sz w:val="22"/>
          <w:szCs w:val="22"/>
        </w:rPr>
      </w:pPr>
      <w:hyperlink r:id="rId11" w:history="1">
        <w:r w:rsidRPr="00AB6BFC">
          <w:rPr>
            <w:rStyle w:val="Hypertextovodkaz"/>
            <w:rFonts w:asciiTheme="minorHAnsi" w:hAnsiTheme="minorHAnsi"/>
            <w:sz w:val="22"/>
            <w:szCs w:val="22"/>
          </w:rPr>
          <w:t>http://vnuf.cz/sbornik/prispevky/13-03-Bochnicek.html</w:t>
        </w:r>
      </w:hyperlink>
    </w:p>
    <w:p w:rsidR="00A23364" w:rsidRDefault="00A23364" w:rsidP="00815CC3">
      <w:pPr>
        <w:rPr>
          <w:b/>
        </w:rPr>
      </w:pPr>
    </w:p>
    <w:p w:rsidR="00815CC3" w:rsidRDefault="00C47363" w:rsidP="00815CC3">
      <w:pPr>
        <w:rPr>
          <w:b/>
        </w:rPr>
      </w:pPr>
      <w:r w:rsidRPr="00C47363">
        <w:rPr>
          <w:b/>
        </w:rPr>
        <w:t>UV záření</w:t>
      </w:r>
    </w:p>
    <w:p w:rsidR="002B68C8" w:rsidRDefault="002B68C8" w:rsidP="00815CC3">
      <w:pPr>
        <w:rPr>
          <w:b/>
        </w:rPr>
      </w:pPr>
      <w:r>
        <w:rPr>
          <w:b/>
        </w:rPr>
        <w:t>Luminiscence</w:t>
      </w:r>
    </w:p>
    <w:p w:rsidR="00A20CAF" w:rsidRPr="00A20CAF" w:rsidRDefault="00A20CAF" w:rsidP="00A23364">
      <w:pPr>
        <w:pStyle w:val="Normlnweb"/>
        <w:shd w:val="clear" w:color="auto" w:fill="FFFFFF"/>
        <w:jc w:val="both"/>
        <w:rPr>
          <w:rFonts w:asciiTheme="minorHAnsi" w:hAnsiTheme="minorHAnsi"/>
          <w:color w:val="000000"/>
          <w:sz w:val="22"/>
          <w:szCs w:val="22"/>
        </w:rPr>
      </w:pPr>
      <w:r w:rsidRPr="00A20CAF">
        <w:rPr>
          <w:rFonts w:asciiTheme="minorHAnsi" w:hAnsiTheme="minorHAnsi"/>
          <w:color w:val="000000"/>
          <w:sz w:val="22"/>
          <w:szCs w:val="22"/>
        </w:rPr>
        <w:t xml:space="preserve">Luminiscence, nebo konkrétněji fotoluminiscence je emise </w:t>
      </w:r>
      <w:r w:rsidR="00A23364">
        <w:rPr>
          <w:rFonts w:asciiTheme="minorHAnsi" w:hAnsiTheme="minorHAnsi"/>
          <w:color w:val="000000"/>
          <w:sz w:val="22"/>
          <w:szCs w:val="22"/>
        </w:rPr>
        <w:t xml:space="preserve">světla vyvolaná absorpcí </w:t>
      </w:r>
      <w:proofErr w:type="gramStart"/>
      <w:r w:rsidR="00A23364">
        <w:rPr>
          <w:rFonts w:asciiTheme="minorHAnsi" w:hAnsiTheme="minorHAnsi"/>
          <w:color w:val="000000"/>
          <w:sz w:val="22"/>
          <w:szCs w:val="22"/>
        </w:rPr>
        <w:t>el.-</w:t>
      </w:r>
      <w:proofErr w:type="spellStart"/>
      <w:r w:rsidR="00A23364">
        <w:rPr>
          <w:rFonts w:asciiTheme="minorHAnsi" w:hAnsiTheme="minorHAnsi"/>
          <w:color w:val="000000"/>
          <w:sz w:val="22"/>
          <w:szCs w:val="22"/>
        </w:rPr>
        <w:t>mag</w:t>
      </w:r>
      <w:proofErr w:type="spellEnd"/>
      <w:r w:rsidR="00A23364">
        <w:rPr>
          <w:rFonts w:asciiTheme="minorHAnsi" w:hAnsiTheme="minorHAnsi"/>
          <w:color w:val="000000"/>
          <w:sz w:val="22"/>
          <w:szCs w:val="22"/>
        </w:rPr>
        <w:t>.</w:t>
      </w:r>
      <w:proofErr w:type="gramEnd"/>
      <w:r w:rsidRPr="00A20CAF">
        <w:rPr>
          <w:rFonts w:asciiTheme="minorHAnsi" w:hAnsiTheme="minorHAnsi"/>
          <w:color w:val="000000"/>
          <w:sz w:val="22"/>
          <w:szCs w:val="22"/>
        </w:rPr>
        <w:t xml:space="preserve"> záření. Dopadající foton předá svoji energii elektronu, kte</w:t>
      </w:r>
      <w:r w:rsidR="00A23364">
        <w:rPr>
          <w:rFonts w:asciiTheme="minorHAnsi" w:hAnsiTheme="minorHAnsi"/>
          <w:color w:val="000000"/>
          <w:sz w:val="22"/>
          <w:szCs w:val="22"/>
        </w:rPr>
        <w:t>rý je excitován z nižší energetické hladiny E</w:t>
      </w:r>
      <w:r w:rsidR="00A23364">
        <w:rPr>
          <w:rFonts w:asciiTheme="minorHAnsi" w:hAnsiTheme="minorHAnsi"/>
          <w:color w:val="000000"/>
          <w:sz w:val="22"/>
          <w:szCs w:val="22"/>
          <w:vertAlign w:val="subscript"/>
        </w:rPr>
        <w:t>1</w:t>
      </w:r>
      <w:r w:rsidR="00A23364">
        <w:rPr>
          <w:rFonts w:asciiTheme="minorHAnsi" w:hAnsiTheme="minorHAnsi"/>
          <w:color w:val="000000"/>
          <w:sz w:val="22"/>
          <w:szCs w:val="22"/>
        </w:rPr>
        <w:t xml:space="preserve"> na energetickou hladinu vyšší E</w:t>
      </w:r>
      <w:r w:rsidR="00A23364">
        <w:rPr>
          <w:rFonts w:asciiTheme="minorHAnsi" w:hAnsiTheme="minorHAnsi"/>
          <w:color w:val="000000"/>
          <w:sz w:val="22"/>
          <w:szCs w:val="22"/>
          <w:vertAlign w:val="subscript"/>
        </w:rPr>
        <w:t>2</w:t>
      </w:r>
      <w:r w:rsidRPr="00A20CAF">
        <w:rPr>
          <w:rFonts w:asciiTheme="minorHAnsi" w:hAnsiTheme="minorHAnsi"/>
          <w:color w:val="000000"/>
          <w:sz w:val="22"/>
          <w:szCs w:val="22"/>
        </w:rPr>
        <w:t>. Při samovolném návratu zpět je vyzářen foton stejné energie, jako měl foton dopadající (obr. l vlevo). Pokud však elektron nejprve část své energie ztratí, například interakcí s tepelnými kmity atomů, pak při ná</w:t>
      </w:r>
      <w:r w:rsidR="00A23364">
        <w:rPr>
          <w:rFonts w:asciiTheme="minorHAnsi" w:hAnsiTheme="minorHAnsi"/>
          <w:color w:val="000000"/>
          <w:sz w:val="22"/>
          <w:szCs w:val="22"/>
        </w:rPr>
        <w:t>sledném přeskoku z hladiny E</w:t>
      </w:r>
      <w:r w:rsidR="00A23364">
        <w:rPr>
          <w:rFonts w:asciiTheme="minorHAnsi" w:hAnsiTheme="minorHAnsi"/>
          <w:color w:val="000000"/>
          <w:sz w:val="22"/>
          <w:szCs w:val="22"/>
          <w:vertAlign w:val="subscript"/>
        </w:rPr>
        <w:t>3</w:t>
      </w:r>
      <w:r w:rsidR="00A23364">
        <w:rPr>
          <w:rFonts w:asciiTheme="minorHAnsi" w:hAnsiTheme="minorHAnsi"/>
          <w:color w:val="000000"/>
          <w:sz w:val="22"/>
          <w:szCs w:val="22"/>
        </w:rPr>
        <w:t xml:space="preserve"> na výchozí hladinu E</w:t>
      </w:r>
      <w:r w:rsidR="00A23364">
        <w:rPr>
          <w:rFonts w:asciiTheme="minorHAnsi" w:hAnsiTheme="minorHAnsi"/>
          <w:color w:val="000000"/>
          <w:sz w:val="22"/>
          <w:szCs w:val="22"/>
          <w:vertAlign w:val="subscript"/>
        </w:rPr>
        <w:t>1</w:t>
      </w:r>
      <w:r w:rsidR="00A23364">
        <w:rPr>
          <w:rFonts w:asciiTheme="minorHAnsi" w:hAnsiTheme="minorHAnsi"/>
          <w:color w:val="000000"/>
          <w:sz w:val="22"/>
          <w:szCs w:val="22"/>
        </w:rPr>
        <w:t xml:space="preserve"> překonává jen menší energetický</w:t>
      </w:r>
      <w:r w:rsidRPr="00A20CAF">
        <w:rPr>
          <w:rFonts w:asciiTheme="minorHAnsi" w:hAnsiTheme="minorHAnsi"/>
          <w:color w:val="000000"/>
          <w:sz w:val="22"/>
          <w:szCs w:val="22"/>
        </w:rPr>
        <w:t xml:space="preserve"> rozdíl, a proto má vyzářený foton energii nižší než foton absorbovaný (obr. l vpravo). Tímto způsobem lze převést neviditelné UV záření na viditelné světlo.</w:t>
      </w:r>
    </w:p>
    <w:p w:rsidR="00A20CAF" w:rsidRPr="00A20CAF" w:rsidRDefault="00A20CAF" w:rsidP="00A20CAF">
      <w:pPr>
        <w:pStyle w:val="obrazek"/>
        <w:shd w:val="clear" w:color="auto" w:fill="FFFFFF"/>
        <w:rPr>
          <w:rFonts w:asciiTheme="minorHAnsi" w:hAnsiTheme="minorHAnsi"/>
          <w:color w:val="000000"/>
          <w:sz w:val="22"/>
          <w:szCs w:val="22"/>
        </w:rPr>
      </w:pPr>
      <w:r w:rsidRPr="00A20CAF">
        <w:rPr>
          <w:rFonts w:asciiTheme="minorHAnsi" w:hAnsiTheme="minorHAnsi"/>
          <w:noProof/>
          <w:color w:val="000000"/>
          <w:sz w:val="22"/>
          <w:szCs w:val="22"/>
        </w:rPr>
        <w:drawing>
          <wp:inline distT="0" distB="0" distL="0" distR="0">
            <wp:extent cx="2232660" cy="1432560"/>
            <wp:effectExtent l="0" t="0" r="0" b="0"/>
            <wp:docPr id="19" name="Obrázek 19" descr="Obr l.: Fotoluminiscence světla stejné vlnové dél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br l.: Fotoluminiscence světla stejné vlnové dél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2660" cy="1432560"/>
                    </a:xfrm>
                    <a:prstGeom prst="rect">
                      <a:avLst/>
                    </a:prstGeom>
                    <a:noFill/>
                    <a:ln>
                      <a:noFill/>
                    </a:ln>
                  </pic:spPr>
                </pic:pic>
              </a:graphicData>
            </a:graphic>
          </wp:inline>
        </w:drawing>
      </w:r>
      <w:r w:rsidRPr="00A20CAF">
        <w:rPr>
          <w:rFonts w:asciiTheme="minorHAnsi" w:hAnsiTheme="minorHAnsi"/>
          <w:noProof/>
          <w:color w:val="000000"/>
          <w:sz w:val="22"/>
          <w:szCs w:val="22"/>
        </w:rPr>
        <w:drawing>
          <wp:inline distT="0" distB="0" distL="0" distR="0">
            <wp:extent cx="2247900" cy="1432560"/>
            <wp:effectExtent l="0" t="0" r="0" b="0"/>
            <wp:docPr id="18" name="Obrázek 18" descr="Obr l.: Fotoluminiscence světla větší vlnové dél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br l.: Fotoluminiscence světla větší vlnové dél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900" cy="1432560"/>
                    </a:xfrm>
                    <a:prstGeom prst="rect">
                      <a:avLst/>
                    </a:prstGeom>
                    <a:noFill/>
                    <a:ln>
                      <a:noFill/>
                    </a:ln>
                  </pic:spPr>
                </pic:pic>
              </a:graphicData>
            </a:graphic>
          </wp:inline>
        </w:drawing>
      </w:r>
    </w:p>
    <w:p w:rsidR="00A20CAF" w:rsidRPr="00A20CAF" w:rsidRDefault="00A20CAF" w:rsidP="00A20CAF">
      <w:pPr>
        <w:pStyle w:val="nadpisobr"/>
        <w:shd w:val="clear" w:color="auto" w:fill="FFFFFF"/>
        <w:rPr>
          <w:rFonts w:asciiTheme="minorHAnsi" w:hAnsiTheme="minorHAnsi"/>
          <w:color w:val="000000"/>
          <w:sz w:val="22"/>
          <w:szCs w:val="22"/>
        </w:rPr>
      </w:pPr>
      <w:r w:rsidRPr="00A20CAF">
        <w:rPr>
          <w:rFonts w:asciiTheme="minorHAnsi" w:hAnsiTheme="minorHAnsi"/>
          <w:color w:val="000000"/>
          <w:sz w:val="22"/>
          <w:szCs w:val="22"/>
        </w:rPr>
        <w:t>Obr l.: Fotoluminiscence světla stejné vlnové délky (vlevo), větší vlnové délky (vpravo).</w:t>
      </w:r>
    </w:p>
    <w:p w:rsidR="00A20CAF" w:rsidRPr="00A20CAF" w:rsidRDefault="00A20CAF" w:rsidP="00637D05">
      <w:pPr>
        <w:pStyle w:val="Normlnweb"/>
        <w:shd w:val="clear" w:color="auto" w:fill="FFFFFF"/>
        <w:jc w:val="both"/>
        <w:rPr>
          <w:rFonts w:asciiTheme="minorHAnsi" w:hAnsiTheme="minorHAnsi"/>
          <w:color w:val="000000"/>
          <w:sz w:val="22"/>
          <w:szCs w:val="22"/>
        </w:rPr>
      </w:pPr>
      <w:r w:rsidRPr="00A20CAF">
        <w:rPr>
          <w:rFonts w:asciiTheme="minorHAnsi" w:hAnsiTheme="minorHAnsi"/>
          <w:color w:val="000000"/>
          <w:sz w:val="22"/>
          <w:szCs w:val="22"/>
        </w:rPr>
        <w:t>Fotoluminiscenční materiály jsou velmi dobře dostupné. Výborně poslouží i obyčejný bělený kancelářský papír. Ten vyzařuje fotoluminiscencí modré světlo, a proto pouze záření s energií vyšší nebo rovnou modrému světlu mů</w:t>
      </w:r>
      <w:r w:rsidR="00637D05">
        <w:rPr>
          <w:rFonts w:asciiTheme="minorHAnsi" w:hAnsiTheme="minorHAnsi"/>
          <w:color w:val="000000"/>
          <w:sz w:val="22"/>
          <w:szCs w:val="22"/>
        </w:rPr>
        <w:t>že luminiscenci vyvolat</w:t>
      </w:r>
      <w:r w:rsidRPr="00A20CAF">
        <w:rPr>
          <w:rFonts w:asciiTheme="minorHAnsi" w:hAnsiTheme="minorHAnsi"/>
          <w:color w:val="000000"/>
          <w:sz w:val="22"/>
          <w:szCs w:val="22"/>
        </w:rPr>
        <w:t xml:space="preserve">. </w:t>
      </w:r>
    </w:p>
    <w:p w:rsidR="00A20CAF" w:rsidRPr="00A20CAF" w:rsidRDefault="00A20CAF" w:rsidP="00A20CAF">
      <w:pPr>
        <w:pStyle w:val="obrazek"/>
        <w:shd w:val="clear" w:color="auto" w:fill="FFFFFF"/>
        <w:rPr>
          <w:rFonts w:asciiTheme="minorHAnsi" w:hAnsiTheme="minorHAnsi"/>
          <w:color w:val="000000"/>
          <w:sz w:val="22"/>
          <w:szCs w:val="22"/>
        </w:rPr>
      </w:pPr>
    </w:p>
    <w:p w:rsidR="00A20CAF" w:rsidRPr="00A20CAF" w:rsidRDefault="00A20CAF" w:rsidP="00A23364">
      <w:pPr>
        <w:pStyle w:val="Normlnweb"/>
        <w:shd w:val="clear" w:color="auto" w:fill="FFFFFF"/>
        <w:jc w:val="both"/>
        <w:rPr>
          <w:rFonts w:asciiTheme="minorHAnsi" w:hAnsiTheme="minorHAnsi"/>
          <w:color w:val="000000"/>
          <w:sz w:val="22"/>
          <w:szCs w:val="22"/>
        </w:rPr>
      </w:pPr>
      <w:r w:rsidRPr="00A20CAF">
        <w:rPr>
          <w:rFonts w:asciiTheme="minorHAnsi" w:hAnsiTheme="minorHAnsi"/>
          <w:color w:val="000000"/>
          <w:sz w:val="22"/>
          <w:szCs w:val="22"/>
        </w:rPr>
        <w:t xml:space="preserve">Skutečnost, že luminiscenci může vybudit pouze záření kratší vlnové délky je důsledkem velmi fundamentálního přírodního zákona – kvantování energie elektromagnetického záření – a při výkladu </w:t>
      </w:r>
      <w:r w:rsidRPr="00A20CAF">
        <w:rPr>
          <w:rFonts w:asciiTheme="minorHAnsi" w:hAnsiTheme="minorHAnsi"/>
          <w:color w:val="000000"/>
          <w:sz w:val="22"/>
          <w:szCs w:val="22"/>
        </w:rPr>
        <w:lastRenderedPageBreak/>
        <w:t xml:space="preserve">může být použita podobně, jako fotoelektrický jev. Ještě přesvědčivěji lze tento fakt demonstrovat, pokud použijeme luminiscenční fólie s různou barvou emitovaného světla. </w:t>
      </w:r>
    </w:p>
    <w:p w:rsidR="00A20CAF" w:rsidRPr="00A20CAF" w:rsidRDefault="00A20CAF" w:rsidP="00A20CAF">
      <w:pPr>
        <w:pStyle w:val="obrazek"/>
        <w:shd w:val="clear" w:color="auto" w:fill="FFFFFF"/>
        <w:rPr>
          <w:rFonts w:asciiTheme="minorHAnsi" w:hAnsiTheme="minorHAnsi"/>
          <w:color w:val="000000"/>
          <w:sz w:val="22"/>
          <w:szCs w:val="22"/>
        </w:rPr>
      </w:pPr>
    </w:p>
    <w:p w:rsidR="00A20CAF" w:rsidRPr="00A23364" w:rsidRDefault="00A20CAF" w:rsidP="00A20CAF">
      <w:pPr>
        <w:pStyle w:val="Nadpis3"/>
        <w:shd w:val="clear" w:color="auto" w:fill="FFFFFF"/>
        <w:rPr>
          <w:rFonts w:asciiTheme="minorHAnsi" w:hAnsiTheme="minorHAnsi"/>
          <w:b/>
          <w:color w:val="000000"/>
          <w:sz w:val="22"/>
          <w:szCs w:val="22"/>
        </w:rPr>
      </w:pPr>
      <w:r w:rsidRPr="00A23364">
        <w:rPr>
          <w:rFonts w:asciiTheme="minorHAnsi" w:hAnsiTheme="minorHAnsi"/>
          <w:b/>
          <w:color w:val="000000"/>
          <w:sz w:val="22"/>
          <w:szCs w:val="22"/>
        </w:rPr>
        <w:t>Fyzikální paradox – změna barvy světla odrazem</w:t>
      </w:r>
    </w:p>
    <w:p w:rsidR="00A20CAF" w:rsidRPr="00A20CAF" w:rsidRDefault="00A20CAF" w:rsidP="00A23364">
      <w:pPr>
        <w:pStyle w:val="Normlnweb"/>
        <w:shd w:val="clear" w:color="auto" w:fill="FFFFFF"/>
        <w:jc w:val="both"/>
        <w:rPr>
          <w:rFonts w:asciiTheme="minorHAnsi" w:hAnsiTheme="minorHAnsi"/>
          <w:color w:val="000000"/>
          <w:sz w:val="22"/>
          <w:szCs w:val="22"/>
        </w:rPr>
      </w:pPr>
      <w:r w:rsidRPr="00A20CAF">
        <w:rPr>
          <w:rFonts w:asciiTheme="minorHAnsi" w:hAnsiTheme="minorHAnsi"/>
          <w:color w:val="000000"/>
          <w:sz w:val="22"/>
          <w:szCs w:val="22"/>
        </w:rPr>
        <w:t>Luminiscenci lze využít i k jednoduchému experimentu, který při jistém provedení může vzbudit iluzi fyzikálního paradoxu. Pokud posvítíme zeleným laserem na červenou luminiscenční fólii, dopadová stopa bude zářit všemi směry červeným luminiscenčním světlem, zatímco zrcadlově odražený svazek zůstane zelený. Zatajíme-li, že dopadající světlo je zelené, dosáhneme iluz</w:t>
      </w:r>
      <w:r w:rsidRPr="00A20CAF">
        <w:rPr>
          <w:rFonts w:asciiTheme="minorHAnsi" w:hAnsiTheme="minorHAnsi"/>
          <w:color w:val="000000"/>
          <w:sz w:val="22"/>
          <w:szCs w:val="22"/>
        </w:rPr>
        <w:t>e změny barvy světla při odrazu.</w:t>
      </w:r>
      <w:r w:rsidR="00A23364">
        <w:rPr>
          <w:rFonts w:asciiTheme="minorHAnsi" w:hAnsiTheme="minorHAnsi"/>
          <w:color w:val="000000"/>
          <w:sz w:val="22"/>
          <w:szCs w:val="22"/>
        </w:rPr>
        <w:t xml:space="preserve"> </w:t>
      </w:r>
      <w:r w:rsidRPr="00A20CAF">
        <w:rPr>
          <w:rFonts w:asciiTheme="minorHAnsi" w:hAnsiTheme="minorHAnsi"/>
          <w:color w:val="000000"/>
          <w:sz w:val="22"/>
          <w:szCs w:val="22"/>
        </w:rPr>
        <w:t>Tento experiment je vhodné doplnit komplementárním pokusem, kdy svítíme červeným laserem na zelenou luminiscenční fólii. Červené světlo nemůže zelenou luminiscenci vybudit, a tak stopa laseru zůst</w:t>
      </w:r>
      <w:r w:rsidRPr="00A20CAF">
        <w:rPr>
          <w:rFonts w:asciiTheme="minorHAnsi" w:hAnsiTheme="minorHAnsi"/>
          <w:color w:val="000000"/>
          <w:sz w:val="22"/>
          <w:szCs w:val="22"/>
        </w:rPr>
        <w:t>ává červená.</w:t>
      </w:r>
    </w:p>
    <w:p w:rsidR="00A20CAF" w:rsidRPr="00A20CAF" w:rsidRDefault="00A20CAF" w:rsidP="00A20CAF">
      <w:pPr>
        <w:pStyle w:val="obrazek"/>
        <w:shd w:val="clear" w:color="auto" w:fill="FFFFFF"/>
        <w:rPr>
          <w:rFonts w:asciiTheme="minorHAnsi" w:hAnsiTheme="minorHAnsi"/>
          <w:color w:val="000000"/>
          <w:sz w:val="22"/>
          <w:szCs w:val="22"/>
        </w:rPr>
      </w:pPr>
      <w:r w:rsidRPr="00A20CAF">
        <w:rPr>
          <w:rFonts w:asciiTheme="minorHAnsi" w:hAnsiTheme="minorHAnsi"/>
          <w:noProof/>
          <w:color w:val="000000"/>
          <w:sz w:val="22"/>
          <w:szCs w:val="22"/>
        </w:rPr>
        <w:drawing>
          <wp:inline distT="0" distB="0" distL="0" distR="0">
            <wp:extent cx="4762500" cy="1714500"/>
            <wp:effectExtent l="0" t="0" r="0" b="0"/>
            <wp:docPr id="15" name="Obrázek 15" descr="Obr. 4: Odraz zeleného laseru na červené fólii a červeného laseru na zelené fól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br. 4: Odraz zeleného laseru na červené fólii a červeného laseru na zelené fóli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1714500"/>
                    </a:xfrm>
                    <a:prstGeom prst="rect">
                      <a:avLst/>
                    </a:prstGeom>
                    <a:noFill/>
                    <a:ln>
                      <a:noFill/>
                    </a:ln>
                  </pic:spPr>
                </pic:pic>
              </a:graphicData>
            </a:graphic>
          </wp:inline>
        </w:drawing>
      </w:r>
    </w:p>
    <w:p w:rsidR="00A20CAF" w:rsidRPr="00A20CAF" w:rsidRDefault="00637D05" w:rsidP="00A20CAF">
      <w:pPr>
        <w:pStyle w:val="nadpisobr"/>
        <w:shd w:val="clear" w:color="auto" w:fill="FFFFFF"/>
        <w:rPr>
          <w:rFonts w:asciiTheme="minorHAnsi" w:hAnsiTheme="minorHAnsi"/>
          <w:color w:val="000000"/>
          <w:sz w:val="22"/>
          <w:szCs w:val="22"/>
        </w:rPr>
      </w:pPr>
      <w:r>
        <w:rPr>
          <w:rFonts w:asciiTheme="minorHAnsi" w:hAnsiTheme="minorHAnsi"/>
          <w:color w:val="000000"/>
          <w:sz w:val="22"/>
          <w:szCs w:val="22"/>
        </w:rPr>
        <w:t>Obr. 2</w:t>
      </w:r>
      <w:r w:rsidR="00A20CAF" w:rsidRPr="00A20CAF">
        <w:rPr>
          <w:rFonts w:asciiTheme="minorHAnsi" w:hAnsiTheme="minorHAnsi"/>
          <w:color w:val="000000"/>
          <w:sz w:val="22"/>
          <w:szCs w:val="22"/>
        </w:rPr>
        <w:t>: Odraz zeleného laseru na červené fólii a červeného laseru na zelené fólii.</w:t>
      </w:r>
    </w:p>
    <w:p w:rsidR="00A20CAF" w:rsidRPr="00A20CAF" w:rsidRDefault="00A20CAF" w:rsidP="00815CC3">
      <w:pPr>
        <w:rPr>
          <w:b/>
        </w:rPr>
      </w:pPr>
    </w:p>
    <w:p w:rsidR="00A20CAF" w:rsidRPr="00A20CAF" w:rsidRDefault="00A20CAF" w:rsidP="00A20CAF">
      <w:pPr>
        <w:shd w:val="clear" w:color="auto" w:fill="FFFFFF"/>
        <w:spacing w:before="100" w:beforeAutospacing="1" w:after="180" w:line="240" w:lineRule="auto"/>
        <w:jc w:val="both"/>
        <w:rPr>
          <w:rFonts w:eastAsia="Times New Roman" w:cs="Arial"/>
          <w:b/>
          <w:color w:val="1A1A1A"/>
          <w:lang w:eastAsia="cs-CZ"/>
        </w:rPr>
      </w:pPr>
      <w:r w:rsidRPr="00A20CAF">
        <w:rPr>
          <w:rFonts w:eastAsia="Times New Roman" w:cs="Arial"/>
          <w:b/>
          <w:color w:val="1A1A1A"/>
          <w:lang w:eastAsia="cs-CZ"/>
        </w:rPr>
        <w:t>Různé druhy luminiscence</w:t>
      </w:r>
    </w:p>
    <w:p w:rsidR="00A20CAF" w:rsidRPr="00A20CAF" w:rsidRDefault="00A20CAF" w:rsidP="00A20CAF">
      <w:pPr>
        <w:shd w:val="clear" w:color="auto" w:fill="FFFFFF"/>
        <w:spacing w:before="100" w:beforeAutospacing="1" w:after="180" w:line="240" w:lineRule="auto"/>
        <w:jc w:val="both"/>
        <w:rPr>
          <w:rFonts w:eastAsia="Times New Roman" w:cs="Arial"/>
          <w:color w:val="1A1A1A"/>
          <w:lang w:eastAsia="cs-CZ"/>
        </w:rPr>
      </w:pPr>
      <w:r w:rsidRPr="00A20CAF">
        <w:rPr>
          <w:rFonts w:eastAsia="Times New Roman" w:cs="Arial"/>
          <w:color w:val="1A1A1A"/>
          <w:lang w:eastAsia="cs-CZ"/>
        </w:rPr>
        <w:t xml:space="preserve">Luminiscenci obecně dělíme na </w:t>
      </w:r>
      <w:r w:rsidRPr="00A20CAF">
        <w:rPr>
          <w:rFonts w:eastAsia="Times New Roman" w:cs="Arial"/>
          <w:b/>
          <w:bCs/>
          <w:color w:val="1A1A1A"/>
          <w:lang w:eastAsia="cs-CZ"/>
        </w:rPr>
        <w:t xml:space="preserve">fluorescenci </w:t>
      </w:r>
      <w:r w:rsidRPr="00A20CAF">
        <w:rPr>
          <w:rFonts w:eastAsia="Times New Roman" w:cs="Arial"/>
          <w:color w:val="1A1A1A"/>
          <w:lang w:eastAsia="cs-CZ"/>
        </w:rPr>
        <w:t xml:space="preserve">a </w:t>
      </w:r>
      <w:r w:rsidRPr="00A20CAF">
        <w:rPr>
          <w:rFonts w:eastAsia="Times New Roman" w:cs="Arial"/>
          <w:b/>
          <w:bCs/>
          <w:color w:val="1A1A1A"/>
          <w:lang w:eastAsia="cs-CZ"/>
        </w:rPr>
        <w:t>fosforescenci</w:t>
      </w:r>
      <w:r w:rsidRPr="00A20CAF">
        <w:rPr>
          <w:rFonts w:eastAsia="Times New Roman" w:cs="Arial"/>
          <w:color w:val="1A1A1A"/>
          <w:lang w:eastAsia="cs-CZ"/>
        </w:rPr>
        <w:t>. Rozdíl mezi nimi spočívá v mechanismu, jakým se atom vra</w:t>
      </w:r>
      <w:r w:rsidR="00A23364">
        <w:rPr>
          <w:rFonts w:eastAsia="Times New Roman" w:cs="Arial"/>
          <w:color w:val="1A1A1A"/>
          <w:lang w:eastAsia="cs-CZ"/>
        </w:rPr>
        <w:t>cí do svého základního stavu. U</w:t>
      </w:r>
      <w:r w:rsidRPr="00A20CAF">
        <w:rPr>
          <w:rFonts w:eastAsia="Times New Roman" w:cs="Arial"/>
          <w:color w:val="1A1A1A"/>
          <w:lang w:eastAsia="cs-CZ"/>
        </w:rPr>
        <w:t xml:space="preserve"> fluorescence návrat z excitovaného stavu do základního stavu netrvá příliš dlouho (řádově 10</w:t>
      </w:r>
      <w:r w:rsidRPr="00A20CAF">
        <w:rPr>
          <w:rFonts w:eastAsia="Times New Roman" w:cs="Arial"/>
          <w:color w:val="1A1A1A"/>
          <w:vertAlign w:val="superscript"/>
          <w:lang w:eastAsia="cs-CZ"/>
        </w:rPr>
        <w:t xml:space="preserve">-9 </w:t>
      </w:r>
      <w:r w:rsidRPr="00A20CAF">
        <w:rPr>
          <w:rFonts w:eastAsia="Times New Roman" w:cs="Arial"/>
          <w:color w:val="1A1A1A"/>
          <w:lang w:eastAsia="cs-CZ"/>
        </w:rPr>
        <w:t>s až 10</w:t>
      </w:r>
      <w:r w:rsidRPr="00A20CAF">
        <w:rPr>
          <w:rFonts w:eastAsia="Times New Roman" w:cs="Arial"/>
          <w:color w:val="1A1A1A"/>
          <w:vertAlign w:val="superscript"/>
          <w:lang w:eastAsia="cs-CZ"/>
        </w:rPr>
        <w:t>-6</w:t>
      </w:r>
      <w:r w:rsidRPr="00A20CAF">
        <w:rPr>
          <w:rFonts w:eastAsia="Times New Roman" w:cs="Arial"/>
          <w:color w:val="1A1A1A"/>
          <w:lang w:eastAsia="cs-CZ"/>
        </w:rPr>
        <w:t xml:space="preserve"> s).  V případě fosforescence návrat trvá déle (řádově 10</w:t>
      </w:r>
      <w:r w:rsidRPr="00A20CAF">
        <w:rPr>
          <w:rFonts w:eastAsia="Times New Roman" w:cs="Arial"/>
          <w:color w:val="1A1A1A"/>
          <w:vertAlign w:val="superscript"/>
          <w:lang w:eastAsia="cs-CZ"/>
        </w:rPr>
        <w:t>-4</w:t>
      </w:r>
      <w:r w:rsidRPr="00A20CAF">
        <w:rPr>
          <w:rFonts w:eastAsia="Times New Roman" w:cs="Arial"/>
          <w:color w:val="1A1A1A"/>
          <w:lang w:eastAsia="cs-CZ"/>
        </w:rPr>
        <w:t xml:space="preserve"> s až 2 dny), protože při ní se elektrony dostanou do takových energetických hladin, ze kterých je návrat do základního stavu velmi obtížný. Kromě fotoluminiscence existuje také </w:t>
      </w:r>
      <w:r w:rsidRPr="00A20CAF">
        <w:rPr>
          <w:rFonts w:eastAsia="Times New Roman" w:cs="Arial"/>
          <w:b/>
          <w:bCs/>
          <w:color w:val="1A1A1A"/>
          <w:lang w:eastAsia="cs-CZ"/>
        </w:rPr>
        <w:t>chemi</w:t>
      </w:r>
      <w:r w:rsidRPr="00A20CAF">
        <w:rPr>
          <w:rFonts w:eastAsia="Times New Roman" w:cs="Arial"/>
          <w:color w:val="1A1A1A"/>
          <w:lang w:eastAsia="cs-CZ"/>
        </w:rPr>
        <w:t xml:space="preserve">luminiscence a </w:t>
      </w:r>
      <w:r w:rsidRPr="00A20CAF">
        <w:rPr>
          <w:rFonts w:eastAsia="Times New Roman" w:cs="Arial"/>
          <w:b/>
          <w:bCs/>
          <w:color w:val="1A1A1A"/>
          <w:lang w:eastAsia="cs-CZ"/>
        </w:rPr>
        <w:t>bio</w:t>
      </w:r>
      <w:r w:rsidRPr="00A20CAF">
        <w:rPr>
          <w:rFonts w:eastAsia="Times New Roman" w:cs="Arial"/>
          <w:color w:val="1A1A1A"/>
          <w:lang w:eastAsia="cs-CZ"/>
        </w:rPr>
        <w:t xml:space="preserve">luminiscence. Jde o případy luminiscence, kdy probíhající chemická či biochemická reakce uvolní energii, která opět dostane atom do excitovaného stavu.  </w:t>
      </w:r>
    </w:p>
    <w:p w:rsidR="00A20CAF" w:rsidRPr="00A20CAF" w:rsidRDefault="00A20CAF" w:rsidP="00A20CAF">
      <w:pPr>
        <w:shd w:val="clear" w:color="auto" w:fill="FFFFFF"/>
        <w:spacing w:before="100" w:beforeAutospacing="1" w:after="180" w:line="240" w:lineRule="auto"/>
        <w:jc w:val="both"/>
        <w:rPr>
          <w:rFonts w:eastAsia="Times New Roman" w:cs="Arial"/>
          <w:b/>
          <w:color w:val="1A1A1A"/>
          <w:lang w:eastAsia="cs-CZ"/>
        </w:rPr>
      </w:pPr>
      <w:r w:rsidRPr="00A20CAF">
        <w:rPr>
          <w:rFonts w:eastAsia="Times New Roman" w:cs="Arial"/>
          <w:b/>
          <w:color w:val="1A1A1A"/>
          <w:lang w:eastAsia="cs-CZ"/>
        </w:rPr>
        <w:t>Bioluminiscence neboli světélkování živých organismů</w:t>
      </w:r>
    </w:p>
    <w:p w:rsidR="00A20CAF" w:rsidRPr="00A20CAF" w:rsidRDefault="00A20CAF" w:rsidP="00A20CAF">
      <w:pPr>
        <w:shd w:val="clear" w:color="auto" w:fill="FFFFFF"/>
        <w:spacing w:before="100" w:beforeAutospacing="1" w:after="180" w:line="240" w:lineRule="auto"/>
        <w:jc w:val="both"/>
        <w:rPr>
          <w:rFonts w:eastAsia="Times New Roman" w:cs="Arial"/>
          <w:color w:val="1A1A1A"/>
          <w:lang w:eastAsia="cs-CZ"/>
        </w:rPr>
      </w:pPr>
      <w:r w:rsidRPr="00A20CAF">
        <w:rPr>
          <w:rFonts w:eastAsia="Times New Roman" w:cs="Arial"/>
          <w:color w:val="1A1A1A"/>
          <w:lang w:eastAsia="cs-CZ"/>
        </w:rPr>
        <w:t xml:space="preserve">V tělech bioluminiscenčních organismů se vyskytují dvě důležité látky, díky nimž je světélkování umožněno. Jde o </w:t>
      </w:r>
      <w:r w:rsidRPr="00A20CAF">
        <w:rPr>
          <w:rFonts w:eastAsia="Times New Roman" w:cs="Arial"/>
          <w:b/>
          <w:bCs/>
          <w:color w:val="1A1A1A"/>
          <w:lang w:eastAsia="cs-CZ"/>
        </w:rPr>
        <w:t>luciferin</w:t>
      </w:r>
      <w:r w:rsidRPr="00A20CAF">
        <w:rPr>
          <w:rFonts w:eastAsia="Times New Roman" w:cs="Arial"/>
          <w:color w:val="1A1A1A"/>
          <w:lang w:eastAsia="cs-CZ"/>
        </w:rPr>
        <w:t xml:space="preserve"> a enzym </w:t>
      </w:r>
      <w:r w:rsidRPr="00A20CAF">
        <w:rPr>
          <w:rFonts w:eastAsia="Times New Roman" w:cs="Arial"/>
          <w:b/>
          <w:bCs/>
          <w:color w:val="1A1A1A"/>
          <w:lang w:eastAsia="cs-CZ"/>
        </w:rPr>
        <w:t>luciferázu</w:t>
      </w:r>
      <w:r w:rsidRPr="00A20CAF">
        <w:rPr>
          <w:rFonts w:eastAsia="Times New Roman" w:cs="Arial"/>
          <w:color w:val="1A1A1A"/>
          <w:lang w:eastAsia="cs-CZ"/>
        </w:rPr>
        <w:t xml:space="preserve">. Luciferin se v přítomnosti kyslíku oxiduje na </w:t>
      </w:r>
      <w:proofErr w:type="spellStart"/>
      <w:r w:rsidRPr="00A20CAF">
        <w:rPr>
          <w:rFonts w:eastAsia="Times New Roman" w:cs="Arial"/>
          <w:b/>
          <w:bCs/>
          <w:color w:val="1A1A1A"/>
          <w:lang w:eastAsia="cs-CZ"/>
        </w:rPr>
        <w:t>oxyluciferin</w:t>
      </w:r>
      <w:proofErr w:type="spellEnd"/>
      <w:r w:rsidRPr="00A20CAF">
        <w:rPr>
          <w:rFonts w:eastAsia="Times New Roman" w:cs="Arial"/>
          <w:color w:val="1A1A1A"/>
          <w:lang w:eastAsia="cs-CZ"/>
        </w:rPr>
        <w:t>, čímž se molekula luciferinu dostává do excitovaného stavu a vydává světlo. Enzym luciferáza celou reakci katalyzuje. Bioluminiscenční organismy si luciferin buď sami vyrábí, nebo jej přijímají ve formě potravy (například některé druhy hlubokomořských ryb). Nejvíce bioluminiscenčních organismů se nachází v hlubinách oceánu, nalézt je ale můžeme i na souši. Nejhojnějšími zástupci jsou bioluminiscenční bakterie, které velmi často žijí v symbióze s jinými organismy, například rybami. Právě tyto bakterie způsobují světélkování mrtvých ryb vyvržených oceánem na pobřeží, ale existují i druhy ryb, které jsou schopné bioluminiscence nezávisle na bakteriích. Některé volně žijící druhy bioluminiscenčních bakterií zase mohou za modrozelené světélkování moří. Bioluminiscenční bakterie jsou díky své schopnosti využívány vědci z různých oborů. Mohou sloužit například k detekci toxických látek v životním prostředí, upozorňují na kontaminaci potravin, vody nebo krve. Národní úřad pro letectví a kosmonautiku (NASA) dokonce využil poznatků o bioluminiscenčních bakteriích při zkoumání povrchu planety Mars.</w:t>
      </w:r>
    </w:p>
    <w:p w:rsidR="00A20CAF" w:rsidRPr="00A20CAF" w:rsidRDefault="00A20CAF" w:rsidP="00A20CAF">
      <w:pPr>
        <w:shd w:val="clear" w:color="auto" w:fill="FFFFFF"/>
        <w:spacing w:before="100" w:beforeAutospacing="1" w:after="180" w:line="240" w:lineRule="auto"/>
        <w:jc w:val="both"/>
        <w:rPr>
          <w:rFonts w:eastAsia="Times New Roman" w:cs="Arial"/>
          <w:color w:val="1A1A1A"/>
          <w:lang w:eastAsia="cs-CZ"/>
        </w:rPr>
      </w:pPr>
      <w:r w:rsidRPr="00A20CAF">
        <w:rPr>
          <w:rFonts w:eastAsia="Times New Roman" w:cs="Arial"/>
          <w:b/>
          <w:bCs/>
          <w:color w:val="1A1A1A"/>
          <w:lang w:eastAsia="cs-CZ"/>
        </w:rPr>
        <w:lastRenderedPageBreak/>
        <w:t xml:space="preserve">Bioluminiscenční organismy </w:t>
      </w:r>
      <w:r w:rsidRPr="00A20CAF">
        <w:rPr>
          <w:rFonts w:eastAsia="Times New Roman" w:cs="Arial"/>
          <w:color w:val="1A1A1A"/>
          <w:lang w:eastAsia="cs-CZ"/>
        </w:rPr>
        <w:t>se vyskytují napříč celým klasifikačním systémem, jsou známy bioluminiscenční druhy hub, obrněnek, medúz, měkkýšů, členovců (například světlušky), ostnokožců i obratlovců (ryby). Jedině říše rostlin nezahrnuje ani jeden světélkující organismus. Luminiscence má u různých organismů i různou funkci. Nejčastěji luminiscence slouží jako obranný mechanismus proti predátorům. Světelný záblesk buď predátora na krátkou chvíli oslepí a napadený živočich má čas uniknout, nebo přiláká většího predátora, který je hrozbou pro původního predátora. Další funkcí bioluminiscence je komunikace. Světlušky využívají luminiscenci při námluvách. Samečci poletují a světélkují, zatímco samičky sedí na větvích keřů a samečky pozorují.</w:t>
      </w:r>
    </w:p>
    <w:p w:rsidR="00A20CAF" w:rsidRPr="00A20CAF" w:rsidRDefault="00A20CAF" w:rsidP="00A20CAF">
      <w:pPr>
        <w:shd w:val="clear" w:color="auto" w:fill="FFFFFF"/>
        <w:spacing w:before="100" w:beforeAutospacing="1" w:after="180" w:line="240" w:lineRule="auto"/>
        <w:jc w:val="both"/>
        <w:rPr>
          <w:rFonts w:eastAsia="Times New Roman" w:cs="Arial"/>
          <w:color w:val="1A1A1A"/>
          <w:lang w:eastAsia="cs-CZ"/>
        </w:rPr>
      </w:pPr>
      <w:r w:rsidRPr="00A20CAF">
        <w:rPr>
          <w:rFonts w:eastAsia="Times New Roman" w:cs="Arial"/>
          <w:color w:val="1A1A1A"/>
          <w:lang w:eastAsia="cs-CZ"/>
        </w:rPr>
        <w:t xml:space="preserve">Ve střední Evropě, a tedy i v České republice, můžeme kromě světlušek narazit na další bioluminiscenční organismy. Například na </w:t>
      </w:r>
      <w:r w:rsidRPr="00A23364">
        <w:rPr>
          <w:rFonts w:eastAsia="Times New Roman" w:cs="Arial"/>
          <w:bCs/>
          <w:color w:val="1A1A1A"/>
          <w:lang w:eastAsia="cs-CZ"/>
        </w:rPr>
        <w:t>žížalu svítivou</w:t>
      </w:r>
      <w:r w:rsidRPr="00A20CAF">
        <w:rPr>
          <w:rFonts w:eastAsia="Times New Roman" w:cs="Arial"/>
          <w:color w:val="1A1A1A"/>
          <w:lang w:eastAsia="cs-CZ"/>
        </w:rPr>
        <w:t xml:space="preserve">, kterou můžeme nalézt v horských listnatých či smíšených lesích v trouchnivějícím dřevě a hrabance. Nebo na dřevokaznou houbu </w:t>
      </w:r>
      <w:r w:rsidRPr="00A23364">
        <w:rPr>
          <w:rFonts w:eastAsia="Times New Roman" w:cs="Arial"/>
          <w:bCs/>
          <w:color w:val="1A1A1A"/>
          <w:lang w:eastAsia="cs-CZ"/>
        </w:rPr>
        <w:t>václavku obecnou</w:t>
      </w:r>
      <w:r w:rsidRPr="00A20CAF">
        <w:rPr>
          <w:rFonts w:eastAsia="Times New Roman" w:cs="Arial"/>
          <w:color w:val="1A1A1A"/>
          <w:lang w:eastAsia="cs-CZ"/>
        </w:rPr>
        <w:t>, rostoucí v listnatých i jehličnatých lesích, často v trsech u kmene stromu či pařezu.</w:t>
      </w:r>
    </w:p>
    <w:p w:rsidR="00A20CAF" w:rsidRPr="00A20CAF" w:rsidRDefault="00A20CAF" w:rsidP="00A20CAF">
      <w:pPr>
        <w:shd w:val="clear" w:color="auto" w:fill="FFFFFF"/>
        <w:spacing w:before="100" w:beforeAutospacing="1" w:after="180" w:line="240" w:lineRule="auto"/>
        <w:jc w:val="both"/>
        <w:rPr>
          <w:rFonts w:eastAsia="Times New Roman" w:cs="Arial"/>
          <w:b/>
          <w:color w:val="1A1A1A"/>
          <w:lang w:eastAsia="cs-CZ"/>
        </w:rPr>
      </w:pPr>
      <w:r w:rsidRPr="00A20CAF">
        <w:rPr>
          <w:rFonts w:eastAsia="Times New Roman" w:cs="Arial"/>
          <w:b/>
          <w:color w:val="1A1A1A"/>
          <w:lang w:eastAsia="cs-CZ"/>
        </w:rPr>
        <w:t>Praktické příklady a pokusy</w:t>
      </w:r>
    </w:p>
    <w:p w:rsidR="00A20CAF" w:rsidRPr="00A20CAF" w:rsidRDefault="00A20CAF" w:rsidP="00A20CAF">
      <w:pPr>
        <w:shd w:val="clear" w:color="auto" w:fill="FFFFFF"/>
        <w:spacing w:before="100" w:beforeAutospacing="1" w:after="180" w:line="240" w:lineRule="auto"/>
        <w:jc w:val="both"/>
        <w:rPr>
          <w:rFonts w:eastAsia="Times New Roman" w:cs="Arial"/>
          <w:color w:val="1A1A1A"/>
          <w:lang w:eastAsia="cs-CZ"/>
        </w:rPr>
      </w:pPr>
      <w:r w:rsidRPr="00A20CAF">
        <w:rPr>
          <w:rFonts w:eastAsia="Times New Roman" w:cs="Arial"/>
          <w:color w:val="1A1A1A"/>
          <w:lang w:eastAsia="cs-CZ"/>
        </w:rPr>
        <w:t>Luminiscence má velmi široké použití. Fluorescence se například využívá v úsporných zářivkách nebo elektroluminiscenčních diodách (LED), dále jsou velmi známá a používaná tzv. fluorescenční barviva, která se využívají například pro ochranu bankovek před paděláním a pro kontrolu kolků, jízdenek, stravenek a jiných důležitých dokumentů. Fluorescenční barviva můžeme také nalézt ve zvýrazňovačích textu. Používají se i k průzkumu toku podzemních vod.  V roce 1877 byl pomocí sodné soli fluoresceinu, která se ve velkém množství vstříkla do země, odhalen tok pramene Dunaje. V neposlední řadě se můžeme s fluorescenčními barvivy setkat i při barvení biologických preparátů určených pro zkoumání pod fluorescenčním mikroskopem.</w:t>
      </w:r>
    </w:p>
    <w:p w:rsidR="002B68C8" w:rsidRPr="00A23364" w:rsidRDefault="00A20CAF" w:rsidP="00A23364">
      <w:pPr>
        <w:shd w:val="clear" w:color="auto" w:fill="FFFFFF"/>
        <w:spacing w:before="100" w:beforeAutospacing="1" w:after="180" w:line="240" w:lineRule="auto"/>
        <w:jc w:val="both"/>
        <w:rPr>
          <w:rFonts w:eastAsia="Times New Roman" w:cs="Arial"/>
          <w:color w:val="1A1A1A"/>
          <w:lang w:eastAsia="cs-CZ"/>
        </w:rPr>
      </w:pPr>
      <w:r w:rsidRPr="00A20CAF">
        <w:rPr>
          <w:rFonts w:eastAsia="Times New Roman" w:cs="Arial"/>
          <w:color w:val="1A1A1A"/>
          <w:lang w:eastAsia="cs-CZ"/>
        </w:rPr>
        <w:t xml:space="preserve">Fluorescenční látky se vyskytují i v tzv. opticky zjasňujících prostředcích, které jsou součástí pracích prášků a jiných bělidel. Používají se k vybělení jak textilu, tak i kancelářského papíru, což můžeme dokázat, pokud se na papír či bílé oblečení podíváme pod UV lampou, papír i textil budou vydávat modré světlo. S fluorescencí se můžeme setkat i u potravin a nápojů, pokud se podíváme na </w:t>
      </w:r>
      <w:proofErr w:type="spellStart"/>
      <w:r w:rsidRPr="00A20CAF">
        <w:rPr>
          <w:rFonts w:eastAsia="Times New Roman" w:cs="Arial"/>
          <w:color w:val="1A1A1A"/>
          <w:lang w:eastAsia="cs-CZ"/>
        </w:rPr>
        <w:t>Tonic</w:t>
      </w:r>
      <w:proofErr w:type="spellEnd"/>
      <w:r w:rsidRPr="00A20CAF">
        <w:rPr>
          <w:rFonts w:eastAsia="Times New Roman" w:cs="Arial"/>
          <w:color w:val="1A1A1A"/>
          <w:lang w:eastAsia="cs-CZ"/>
        </w:rPr>
        <w:t xml:space="preserve"> proti světlu, uvidíme modré světélkování. Fluorescenci vykazuje i náplň banánků v čokoládě, energetické nápoje obsahující vitamín B</w:t>
      </w:r>
      <w:r w:rsidRPr="00A20CAF">
        <w:rPr>
          <w:rFonts w:eastAsia="Times New Roman" w:cs="Arial"/>
          <w:color w:val="1A1A1A"/>
          <w:vertAlign w:val="subscript"/>
          <w:lang w:eastAsia="cs-CZ"/>
        </w:rPr>
        <w:t>2</w:t>
      </w:r>
      <w:r w:rsidRPr="00A20CAF">
        <w:rPr>
          <w:rFonts w:eastAsia="Times New Roman" w:cs="Arial"/>
          <w:color w:val="1A1A1A"/>
          <w:lang w:eastAsia="cs-CZ"/>
        </w:rPr>
        <w:t>, mléko, nebo podhoubí plísně hermelínu.</w:t>
      </w:r>
    </w:p>
    <w:p w:rsidR="002B68C8" w:rsidRPr="00A23364" w:rsidRDefault="002B68C8" w:rsidP="002B68C8">
      <w:pPr>
        <w:spacing w:line="240" w:lineRule="auto"/>
        <w:rPr>
          <w:i/>
        </w:rPr>
      </w:pPr>
      <w:r w:rsidRPr="00A23364">
        <w:rPr>
          <w:b/>
        </w:rPr>
        <w:t>Přírodní fluorescenční barviva</w:t>
      </w:r>
      <w:r w:rsidRPr="00A23364">
        <w:rPr>
          <w:i/>
        </w:rPr>
        <w:t xml:space="preserve">: </w:t>
      </w:r>
    </w:p>
    <w:p w:rsidR="002B68C8" w:rsidRPr="00A23364" w:rsidRDefault="002B68C8" w:rsidP="00A23364">
      <w:pPr>
        <w:rPr>
          <w:i/>
        </w:rPr>
      </w:pPr>
      <w:r w:rsidRPr="00A20CAF">
        <w:rPr>
          <w:b/>
        </w:rPr>
        <w:t xml:space="preserve">kumarin </w:t>
      </w:r>
      <w:r w:rsidRPr="00A20CAF">
        <w:rPr>
          <w:i/>
        </w:rPr>
        <w:t xml:space="preserve">– obsažen v mařince vonné </w:t>
      </w:r>
    </w:p>
    <w:p w:rsidR="002B68C8" w:rsidRPr="00A23364" w:rsidRDefault="002B68C8" w:rsidP="00A23364">
      <w:pPr>
        <w:spacing w:line="240" w:lineRule="auto"/>
        <w:rPr>
          <w:i/>
        </w:rPr>
      </w:pPr>
      <w:proofErr w:type="spellStart"/>
      <w:r w:rsidRPr="00A20CAF">
        <w:rPr>
          <w:b/>
        </w:rPr>
        <w:t>aesculin</w:t>
      </w:r>
      <w:proofErr w:type="spellEnd"/>
      <w:r w:rsidRPr="00A20CAF">
        <w:rPr>
          <w:i/>
        </w:rPr>
        <w:t xml:space="preserve"> (glykosid s derivátem kumarinu) – obsažen zejména ve dřevě jírovce maďalu (kaštanu)</w:t>
      </w:r>
    </w:p>
    <w:p w:rsidR="002B68C8" w:rsidRPr="00A20CAF" w:rsidRDefault="002B68C8" w:rsidP="002B68C8">
      <w:pPr>
        <w:rPr>
          <w:i/>
        </w:rPr>
      </w:pPr>
      <w:proofErr w:type="spellStart"/>
      <w:r w:rsidRPr="00A20CAF">
        <w:rPr>
          <w:b/>
        </w:rPr>
        <w:t>kurkumin</w:t>
      </w:r>
      <w:proofErr w:type="spellEnd"/>
      <w:r w:rsidRPr="00A20CAF">
        <w:rPr>
          <w:i/>
        </w:rPr>
        <w:t xml:space="preserve"> – obsažen v kurkumě, která je součástí indických kořenících směsí „kari“</w:t>
      </w:r>
    </w:p>
    <w:p w:rsidR="002B68C8" w:rsidRPr="00A20CAF" w:rsidRDefault="002B68C8" w:rsidP="002B68C8">
      <w:pPr>
        <w:rPr>
          <w:i/>
        </w:rPr>
      </w:pPr>
      <w:proofErr w:type="spellStart"/>
      <w:r w:rsidRPr="00A20CAF">
        <w:rPr>
          <w:b/>
        </w:rPr>
        <w:t>apigenin</w:t>
      </w:r>
      <w:proofErr w:type="spellEnd"/>
      <w:r w:rsidRPr="00A20CAF">
        <w:rPr>
          <w:i/>
        </w:rPr>
        <w:t xml:space="preserve"> -  barvivo ze skupiny </w:t>
      </w:r>
      <w:proofErr w:type="spellStart"/>
      <w:r w:rsidRPr="00A20CAF">
        <w:rPr>
          <w:i/>
        </w:rPr>
        <w:t>flavonoidů</w:t>
      </w:r>
      <w:proofErr w:type="spellEnd"/>
      <w:r w:rsidRPr="00A20CAF">
        <w:rPr>
          <w:i/>
        </w:rPr>
        <w:t xml:space="preserve"> obsažené např. v rozmarýnu</w:t>
      </w:r>
    </w:p>
    <w:p w:rsidR="002B68C8" w:rsidRPr="00A20CAF" w:rsidRDefault="002B68C8" w:rsidP="002B68C8">
      <w:pPr>
        <w:rPr>
          <w:b/>
          <w:u w:val="single"/>
        </w:rPr>
      </w:pPr>
    </w:p>
    <w:p w:rsidR="002B68C8" w:rsidRPr="00A23364" w:rsidRDefault="002B68C8" w:rsidP="002B68C8">
      <w:pPr>
        <w:rPr>
          <w:i/>
        </w:rPr>
      </w:pPr>
      <w:r w:rsidRPr="00A23364">
        <w:rPr>
          <w:b/>
        </w:rPr>
        <w:t>Syntetická fluorescenční barviva</w:t>
      </w:r>
      <w:r w:rsidRPr="00A23364">
        <w:rPr>
          <w:i/>
        </w:rPr>
        <w:t xml:space="preserve"> </w:t>
      </w:r>
    </w:p>
    <w:p w:rsidR="002B68C8" w:rsidRPr="00A23364" w:rsidRDefault="002B68C8" w:rsidP="00A23364">
      <w:pPr>
        <w:jc w:val="both"/>
      </w:pPr>
      <w:r w:rsidRPr="00A23364">
        <w:t>Tato organická a anorganická barviva mají značný význam v analytické chemii (fluorescenční indikátory), ale rovněž pro studium biologického materiálu, v medicíně, jako bezpečnostní prvky v bankovnictví a také jako značkovací materiály - např. je používají speleologové při sledování toku podzemních vod.</w:t>
      </w:r>
    </w:p>
    <w:p w:rsidR="002B68C8" w:rsidRPr="00A23364" w:rsidRDefault="002B68C8" w:rsidP="002B68C8">
      <w:r w:rsidRPr="00A23364">
        <w:t xml:space="preserve">Patří sem mimo jiných </w:t>
      </w:r>
      <w:r w:rsidRPr="00A23364">
        <w:rPr>
          <w:b/>
        </w:rPr>
        <w:t>fluorescein</w:t>
      </w:r>
      <w:r w:rsidRPr="00A23364">
        <w:t xml:space="preserve"> a jeho deriváty, např. </w:t>
      </w:r>
      <w:proofErr w:type="spellStart"/>
      <w:r w:rsidRPr="00A23364">
        <w:rPr>
          <w:b/>
        </w:rPr>
        <w:t>eosin</w:t>
      </w:r>
      <w:proofErr w:type="spellEnd"/>
      <w:r w:rsidRPr="00A23364">
        <w:t>.</w:t>
      </w:r>
    </w:p>
    <w:p w:rsidR="00A23364" w:rsidRPr="00A20CAF" w:rsidRDefault="00A23364" w:rsidP="00A23364">
      <w:pPr>
        <w:pStyle w:val="Nadpis1"/>
        <w:shd w:val="clear" w:color="auto" w:fill="FDFDFD"/>
        <w:spacing w:before="0" w:line="336" w:lineRule="atLeast"/>
        <w:rPr>
          <w:rFonts w:asciiTheme="minorHAnsi" w:hAnsiTheme="minorHAnsi"/>
          <w:b w:val="0"/>
          <w:i w:val="0"/>
          <w:sz w:val="22"/>
          <w:szCs w:val="22"/>
        </w:rPr>
      </w:pPr>
      <w:r w:rsidRPr="00A20CAF">
        <w:rPr>
          <w:rFonts w:asciiTheme="minorHAnsi" w:hAnsiTheme="minorHAnsi"/>
          <w:b w:val="0"/>
          <w:i w:val="0"/>
          <w:sz w:val="22"/>
          <w:szCs w:val="22"/>
          <w:lang w:eastAsia="cs-CZ"/>
        </w:rPr>
        <w:lastRenderedPageBreak/>
        <w:t xml:space="preserve">Do pracích prášků a papíru se přidávají opticky aktivní látky „aby bílá </w:t>
      </w:r>
      <w:proofErr w:type="spellStart"/>
      <w:r w:rsidRPr="00A20CAF">
        <w:rPr>
          <w:rFonts w:asciiTheme="minorHAnsi" w:hAnsiTheme="minorHAnsi"/>
          <w:b w:val="0"/>
          <w:i w:val="0"/>
          <w:sz w:val="22"/>
          <w:szCs w:val="22"/>
          <w:lang w:eastAsia="cs-CZ"/>
        </w:rPr>
        <w:t>bílá</w:t>
      </w:r>
      <w:proofErr w:type="spellEnd"/>
      <w:r w:rsidRPr="00A20CAF">
        <w:rPr>
          <w:rFonts w:asciiTheme="minorHAnsi" w:hAnsiTheme="minorHAnsi"/>
          <w:b w:val="0"/>
          <w:i w:val="0"/>
          <w:sz w:val="22"/>
          <w:szCs w:val="22"/>
          <w:lang w:eastAsia="cs-CZ"/>
        </w:rPr>
        <w:t xml:space="preserve"> byla“. </w:t>
      </w:r>
      <w:r w:rsidRPr="00A20CAF">
        <w:rPr>
          <w:rFonts w:asciiTheme="minorHAnsi" w:hAnsiTheme="minorHAnsi"/>
          <w:b w:val="0"/>
          <w:i w:val="0"/>
          <w:sz w:val="22"/>
          <w:szCs w:val="22"/>
        </w:rPr>
        <w:t xml:space="preserve">Do papíru se jako optický </w:t>
      </w:r>
      <w:proofErr w:type="spellStart"/>
      <w:r w:rsidRPr="00A20CAF">
        <w:rPr>
          <w:rFonts w:asciiTheme="minorHAnsi" w:hAnsiTheme="minorHAnsi"/>
          <w:b w:val="0"/>
          <w:i w:val="0"/>
          <w:sz w:val="22"/>
          <w:szCs w:val="22"/>
        </w:rPr>
        <w:t>zjasňovač</w:t>
      </w:r>
      <w:proofErr w:type="spellEnd"/>
      <w:r w:rsidRPr="00A20CAF">
        <w:rPr>
          <w:rFonts w:asciiTheme="minorHAnsi" w:hAnsiTheme="minorHAnsi"/>
          <w:b w:val="0"/>
          <w:i w:val="0"/>
          <w:sz w:val="22"/>
          <w:szCs w:val="22"/>
        </w:rPr>
        <w:t xml:space="preserve"> používá kyselina </w:t>
      </w:r>
      <w:proofErr w:type="gramStart"/>
      <w:r w:rsidRPr="00A20CAF">
        <w:rPr>
          <w:rFonts w:asciiTheme="minorHAnsi" w:hAnsiTheme="minorHAnsi"/>
          <w:b w:val="0"/>
          <w:i w:val="0"/>
          <w:sz w:val="22"/>
          <w:szCs w:val="22"/>
        </w:rPr>
        <w:t>4,4′-diamino-2</w:t>
      </w:r>
      <w:proofErr w:type="gramEnd"/>
      <w:r w:rsidRPr="00A20CAF">
        <w:rPr>
          <w:rFonts w:asciiTheme="minorHAnsi" w:hAnsiTheme="minorHAnsi"/>
          <w:b w:val="0"/>
          <w:i w:val="0"/>
          <w:sz w:val="22"/>
          <w:szCs w:val="22"/>
        </w:rPr>
        <w:t xml:space="preserve">,2′-stilbenedisulfonová a její deriváty (obchodní označení </w:t>
      </w:r>
      <w:proofErr w:type="spellStart"/>
      <w:r w:rsidRPr="00A20CAF">
        <w:rPr>
          <w:rFonts w:asciiTheme="minorHAnsi" w:hAnsiTheme="minorHAnsi"/>
          <w:i w:val="0"/>
          <w:sz w:val="22"/>
          <w:szCs w:val="22"/>
        </w:rPr>
        <w:t>rylux</w:t>
      </w:r>
      <w:proofErr w:type="spellEnd"/>
      <w:r w:rsidRPr="00A20CAF">
        <w:rPr>
          <w:rFonts w:asciiTheme="minorHAnsi" w:hAnsiTheme="minorHAnsi"/>
          <w:b w:val="0"/>
          <w:i w:val="0"/>
          <w:sz w:val="22"/>
          <w:szCs w:val="22"/>
        </w:rPr>
        <w:t>).</w:t>
      </w:r>
      <w:r w:rsidRPr="00A20CAF">
        <w:rPr>
          <w:rFonts w:asciiTheme="minorHAnsi" w:hAnsiTheme="minorHAnsi"/>
          <w:b w:val="0"/>
          <w:i w:val="0"/>
          <w:sz w:val="22"/>
          <w:szCs w:val="22"/>
          <w:lang w:eastAsia="cs-CZ"/>
        </w:rPr>
        <w:t xml:space="preserve"> Filtrační papír obsahuje pouze čistou buničinu.</w:t>
      </w:r>
    </w:p>
    <w:p w:rsidR="002B68C8" w:rsidRPr="00A20CAF" w:rsidRDefault="002B68C8" w:rsidP="00A23364">
      <w:pPr>
        <w:rPr>
          <w:i/>
        </w:rPr>
      </w:pPr>
      <w:r w:rsidRPr="00A20CAF">
        <w:t xml:space="preserve">                            </w:t>
      </w:r>
    </w:p>
    <w:p w:rsidR="002B68C8" w:rsidRPr="00637D05" w:rsidRDefault="002B68C8" w:rsidP="00637D05">
      <w:pPr>
        <w:spacing w:before="240" w:after="200" w:line="276" w:lineRule="auto"/>
        <w:jc w:val="both"/>
        <w:rPr>
          <w:b/>
        </w:rPr>
      </w:pPr>
      <w:r w:rsidRPr="00637D05">
        <w:rPr>
          <w:b/>
        </w:rPr>
        <w:t xml:space="preserve">Příprava a pozorování fluorescence extraktů přírodních látek </w:t>
      </w:r>
    </w:p>
    <w:p w:rsidR="002B68C8" w:rsidRPr="00637D05" w:rsidRDefault="002B68C8" w:rsidP="002B68C8">
      <w:pPr>
        <w:spacing w:after="60"/>
      </w:pPr>
      <w:r w:rsidRPr="00637D05">
        <w:rPr>
          <w:u w:val="single"/>
        </w:rPr>
        <w:t>Pomůcky</w:t>
      </w:r>
      <w:r w:rsidRPr="00637D05">
        <w:t>: plastové mikro zkumavky s víčkem (1,5 ml), třecí miska s tloučkem, UV lampa</w:t>
      </w:r>
    </w:p>
    <w:p w:rsidR="002B68C8" w:rsidRPr="00637D05" w:rsidRDefault="002B68C8" w:rsidP="002B68C8">
      <w:pPr>
        <w:spacing w:after="60"/>
      </w:pPr>
      <w:r w:rsidRPr="00637D05">
        <w:rPr>
          <w:u w:val="single"/>
        </w:rPr>
        <w:t>Chemikálie</w:t>
      </w:r>
      <w:r w:rsidRPr="00637D05">
        <w:t xml:space="preserve">: </w:t>
      </w:r>
      <w:proofErr w:type="spellStart"/>
      <w:r w:rsidRPr="00637D05">
        <w:t>ethanol</w:t>
      </w:r>
      <w:proofErr w:type="spellEnd"/>
      <w:r w:rsidRPr="00637D05">
        <w:t xml:space="preserve">, destilovaná voda  </w:t>
      </w:r>
    </w:p>
    <w:p w:rsidR="002B68C8" w:rsidRPr="00637D05" w:rsidRDefault="002B68C8" w:rsidP="002B68C8">
      <w:pPr>
        <w:spacing w:after="0"/>
      </w:pPr>
      <w:r w:rsidRPr="00637D05">
        <w:rPr>
          <w:u w:val="single"/>
        </w:rPr>
        <w:t>Postup</w:t>
      </w:r>
      <w:r w:rsidRPr="00637D05">
        <w:t xml:space="preserve">: </w:t>
      </w:r>
    </w:p>
    <w:p w:rsidR="002B68C8" w:rsidRPr="00637D05" w:rsidRDefault="002B68C8" w:rsidP="00637D05">
      <w:pPr>
        <w:jc w:val="both"/>
        <w:rPr>
          <w:rFonts w:eastAsia="Times New Roman" w:cs="Times New Roman"/>
          <w:lang w:eastAsia="cs-CZ"/>
        </w:rPr>
      </w:pPr>
      <w:r w:rsidRPr="00637D05">
        <w:t xml:space="preserve">Přírodní látky (kurkuma, rozmarýn, lístky mařinky vonné, nakrájená vnitřní část větvičky jírovce maďalu, atd.) vložíme do plastových mikro zkumavek, přidáme </w:t>
      </w:r>
      <w:proofErr w:type="spellStart"/>
      <w:r w:rsidRPr="00637D05">
        <w:t>ethanol</w:t>
      </w:r>
      <w:proofErr w:type="spellEnd"/>
      <w:r w:rsidRPr="00637D05">
        <w:t xml:space="preserve"> nebo destilovanou vodu a dobře protřepeme. Luminiscenci připravených extraktů pozorujeme pod UV lampou v temné části místnosti nebo v UV boxu. </w:t>
      </w:r>
      <w:r w:rsidRPr="00637D05">
        <w:rPr>
          <w:rFonts w:eastAsia="Times New Roman" w:cs="Times New Roman"/>
          <w:lang w:eastAsia="cs-CZ"/>
        </w:rPr>
        <w:t xml:space="preserve"> </w:t>
      </w:r>
    </w:p>
    <w:p w:rsidR="002B68C8" w:rsidRPr="00A20CAF" w:rsidRDefault="002B68C8" w:rsidP="00815CC3">
      <w:bookmarkStart w:id="0" w:name="_GoBack"/>
      <w:bookmarkEnd w:id="0"/>
    </w:p>
    <w:p w:rsidR="002B68C8" w:rsidRPr="00A20CAF" w:rsidRDefault="002B68C8" w:rsidP="002B68C8">
      <w:r w:rsidRPr="00A20CAF">
        <w:rPr>
          <w:color w:val="000000"/>
        </w:rPr>
        <w:t xml:space="preserve">Zdroje a další informace: </w:t>
      </w:r>
      <w:hyperlink r:id="rId15" w:history="1">
        <w:r w:rsidRPr="00A20CAF">
          <w:rPr>
            <w:rStyle w:val="Hypertextovodkaz"/>
          </w:rPr>
          <w:t>https://www.webchemie.cz/luminiscence.html</w:t>
        </w:r>
      </w:hyperlink>
    </w:p>
    <w:p w:rsidR="002B68C8" w:rsidRPr="00A20CAF" w:rsidRDefault="002B68C8" w:rsidP="00815CC3"/>
    <w:sectPr w:rsidR="002B68C8" w:rsidRPr="00A20C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imes New Roman CE">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210AB"/>
    <w:multiLevelType w:val="hybridMultilevel"/>
    <w:tmpl w:val="11E4A12A"/>
    <w:lvl w:ilvl="0" w:tplc="35741A4C">
      <w:start w:val="1"/>
      <w:numFmt w:val="decimal"/>
      <w:lvlText w:val="%1."/>
      <w:lvlJc w:val="left"/>
      <w:pPr>
        <w:ind w:left="786" w:hanging="360"/>
      </w:pPr>
      <w:rPr>
        <w:rFonts w:ascii="Times New Roman" w:hAnsi="Times New Roman" w:cs="Times New Roman" w:hint="default"/>
        <w:b w:val="0"/>
        <w:i/>
        <w:color w:val="auto"/>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2746CFE"/>
    <w:multiLevelType w:val="hybridMultilevel"/>
    <w:tmpl w:val="3B8861D8"/>
    <w:lvl w:ilvl="0" w:tplc="04050001">
      <w:start w:val="1"/>
      <w:numFmt w:val="bullet"/>
      <w:lvlText w:val=""/>
      <w:lvlJc w:val="left"/>
      <w:pPr>
        <w:ind w:left="720" w:hanging="360"/>
      </w:pPr>
      <w:rPr>
        <w:rFonts w:ascii="Symbol" w:hAnsi="Symbol" w:hint="default"/>
      </w:rPr>
    </w:lvl>
    <w:lvl w:ilvl="1" w:tplc="0405000D">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14F6FF4"/>
    <w:multiLevelType w:val="hybridMultilevel"/>
    <w:tmpl w:val="8AD69C50"/>
    <w:lvl w:ilvl="0" w:tplc="0405000D">
      <w:start w:val="1"/>
      <w:numFmt w:val="bullet"/>
      <w:lvlText w:val=""/>
      <w:lvlJc w:val="left"/>
      <w:pPr>
        <w:ind w:left="720" w:hanging="360"/>
      </w:pPr>
      <w:rPr>
        <w:rFonts w:ascii="Wingdings" w:hAnsi="Wingdings" w:hint="default"/>
      </w:rPr>
    </w:lvl>
    <w:lvl w:ilvl="1" w:tplc="0405000F">
      <w:start w:val="1"/>
      <w:numFmt w:val="decimal"/>
      <w:lvlText w:val="%2."/>
      <w:lvlJc w:val="left"/>
      <w:pPr>
        <w:tabs>
          <w:tab w:val="num" w:pos="1440"/>
        </w:tabs>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577F7B2C"/>
    <w:multiLevelType w:val="hybridMultilevel"/>
    <w:tmpl w:val="AD785D76"/>
    <w:lvl w:ilvl="0" w:tplc="428EAA24">
      <w:start w:val="1"/>
      <w:numFmt w:val="decimal"/>
      <w:lvlText w:val="%1."/>
      <w:lvlJc w:val="left"/>
      <w:pPr>
        <w:ind w:left="720" w:hanging="360"/>
      </w:pPr>
      <w:rPr>
        <w:rFonts w:hint="default"/>
        <w:b/>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9AD6AC8"/>
    <w:multiLevelType w:val="hybridMultilevel"/>
    <w:tmpl w:val="DDD48D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73F"/>
    <w:rsid w:val="002B68C8"/>
    <w:rsid w:val="002C50CA"/>
    <w:rsid w:val="004B2578"/>
    <w:rsid w:val="00637D05"/>
    <w:rsid w:val="00815CC3"/>
    <w:rsid w:val="00A20CAF"/>
    <w:rsid w:val="00A23364"/>
    <w:rsid w:val="00B462C1"/>
    <w:rsid w:val="00B637DC"/>
    <w:rsid w:val="00C47363"/>
    <w:rsid w:val="00CF673F"/>
    <w:rsid w:val="00DF55F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9E549B-8215-4B6A-8577-602E1EB8E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2B68C8"/>
    <w:pPr>
      <w:keepNext/>
      <w:spacing w:before="240" w:after="60" w:line="276" w:lineRule="auto"/>
      <w:jc w:val="both"/>
      <w:outlineLvl w:val="0"/>
    </w:pPr>
    <w:rPr>
      <w:rFonts w:ascii="Cambria" w:eastAsia="Times New Roman" w:hAnsi="Cambria" w:cs="Times New Roman"/>
      <w:b/>
      <w:bCs/>
      <w:i/>
      <w:kern w:val="32"/>
      <w:sz w:val="32"/>
      <w:szCs w:val="32"/>
    </w:rPr>
  </w:style>
  <w:style w:type="paragraph" w:styleId="Nadpis3">
    <w:name w:val="heading 3"/>
    <w:basedOn w:val="Normln"/>
    <w:next w:val="Normln"/>
    <w:link w:val="Nadpis3Char"/>
    <w:uiPriority w:val="9"/>
    <w:semiHidden/>
    <w:unhideWhenUsed/>
    <w:qFormat/>
    <w:rsid w:val="00A20C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qFormat/>
    <w:rsid w:val="002B68C8"/>
    <w:pPr>
      <w:keepNext/>
      <w:spacing w:before="240" w:after="60" w:line="276" w:lineRule="auto"/>
      <w:jc w:val="both"/>
      <w:outlineLvl w:val="3"/>
    </w:pPr>
    <w:rPr>
      <w:rFonts w:ascii="Calibri" w:eastAsia="Times New Roman" w:hAnsi="Calibri" w:cs="Times New Roman"/>
      <w:b/>
      <w:bCs/>
      <w:i/>
      <w:sz w:val="28"/>
      <w:szCs w:val="28"/>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CF673F"/>
    <w:rPr>
      <w:color w:val="0563C1" w:themeColor="hyperlink"/>
      <w:u w:val="single"/>
    </w:rPr>
  </w:style>
  <w:style w:type="paragraph" w:styleId="Prosttext">
    <w:name w:val="Plain Text"/>
    <w:basedOn w:val="Normln"/>
    <w:link w:val="ProsttextChar"/>
    <w:uiPriority w:val="99"/>
    <w:unhideWhenUsed/>
    <w:rsid w:val="00CF673F"/>
    <w:pPr>
      <w:spacing w:after="0" w:line="240" w:lineRule="auto"/>
    </w:pPr>
    <w:rPr>
      <w:rFonts w:ascii="Calibri" w:hAnsi="Calibri"/>
      <w:szCs w:val="21"/>
    </w:rPr>
  </w:style>
  <w:style w:type="character" w:customStyle="1" w:styleId="ProsttextChar">
    <w:name w:val="Prostý text Char"/>
    <w:basedOn w:val="Standardnpsmoodstavce"/>
    <w:link w:val="Prosttext"/>
    <w:uiPriority w:val="99"/>
    <w:rsid w:val="00CF673F"/>
    <w:rPr>
      <w:rFonts w:ascii="Calibri" w:hAnsi="Calibri"/>
      <w:szCs w:val="21"/>
    </w:rPr>
  </w:style>
  <w:style w:type="paragraph" w:styleId="Normlnweb">
    <w:name w:val="Normal (Web)"/>
    <w:basedOn w:val="Normln"/>
    <w:uiPriority w:val="99"/>
    <w:semiHidden/>
    <w:unhideWhenUsed/>
    <w:rsid w:val="00815CC3"/>
    <w:pPr>
      <w:spacing w:before="120" w:after="0"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815CC3"/>
    <w:pPr>
      <w:ind w:left="720"/>
      <w:contextualSpacing/>
    </w:pPr>
  </w:style>
  <w:style w:type="character" w:customStyle="1" w:styleId="Nadpis1Char">
    <w:name w:val="Nadpis 1 Char"/>
    <w:basedOn w:val="Standardnpsmoodstavce"/>
    <w:link w:val="Nadpis1"/>
    <w:uiPriority w:val="9"/>
    <w:rsid w:val="002B68C8"/>
    <w:rPr>
      <w:rFonts w:ascii="Cambria" w:eastAsia="Times New Roman" w:hAnsi="Cambria" w:cs="Times New Roman"/>
      <w:b/>
      <w:bCs/>
      <w:i/>
      <w:kern w:val="32"/>
      <w:sz w:val="32"/>
      <w:szCs w:val="32"/>
    </w:rPr>
  </w:style>
  <w:style w:type="character" w:customStyle="1" w:styleId="Nadpis4Char">
    <w:name w:val="Nadpis 4 Char"/>
    <w:basedOn w:val="Standardnpsmoodstavce"/>
    <w:link w:val="Nadpis4"/>
    <w:uiPriority w:val="9"/>
    <w:rsid w:val="002B68C8"/>
    <w:rPr>
      <w:rFonts w:ascii="Calibri" w:eastAsia="Times New Roman" w:hAnsi="Calibri" w:cs="Times New Roman"/>
      <w:b/>
      <w:bCs/>
      <w:i/>
      <w:sz w:val="28"/>
      <w:szCs w:val="28"/>
      <w:lang w:val="x-none"/>
    </w:rPr>
  </w:style>
  <w:style w:type="paragraph" w:styleId="Zhlav">
    <w:name w:val="header"/>
    <w:basedOn w:val="Normln"/>
    <w:link w:val="ZhlavChar"/>
    <w:rsid w:val="002B68C8"/>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rsid w:val="002B68C8"/>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semiHidden/>
    <w:rsid w:val="00A20CAF"/>
    <w:rPr>
      <w:rFonts w:asciiTheme="majorHAnsi" w:eastAsiaTheme="majorEastAsia" w:hAnsiTheme="majorHAnsi" w:cstheme="majorBidi"/>
      <w:color w:val="1F4D78" w:themeColor="accent1" w:themeShade="7F"/>
      <w:sz w:val="24"/>
      <w:szCs w:val="24"/>
    </w:rPr>
  </w:style>
  <w:style w:type="paragraph" w:customStyle="1" w:styleId="obrazek">
    <w:name w:val="obrazek"/>
    <w:basedOn w:val="Normln"/>
    <w:rsid w:val="00A20CAF"/>
    <w:pPr>
      <w:spacing w:after="0" w:line="240" w:lineRule="auto"/>
      <w:jc w:val="center"/>
    </w:pPr>
    <w:rPr>
      <w:rFonts w:ascii="Times New Roman CE" w:eastAsia="Times New Roman" w:hAnsi="Times New Roman CE" w:cs="Times New Roman CE"/>
      <w:sz w:val="24"/>
      <w:szCs w:val="24"/>
      <w:lang w:eastAsia="cs-CZ"/>
    </w:rPr>
  </w:style>
  <w:style w:type="paragraph" w:customStyle="1" w:styleId="nadpisobr">
    <w:name w:val="nadpisobr"/>
    <w:basedOn w:val="Normln"/>
    <w:rsid w:val="00A20CAF"/>
    <w:pPr>
      <w:spacing w:before="120" w:after="0" w:line="240" w:lineRule="auto"/>
      <w:jc w:val="center"/>
    </w:pPr>
    <w:rPr>
      <w:rFonts w:ascii="Times New Roman CE" w:eastAsia="Times New Roman" w:hAnsi="Times New Roman CE" w:cs="Times New Roman CE"/>
      <w:i/>
      <w:iCs/>
      <w:sz w:val="24"/>
      <w:szCs w:val="24"/>
      <w:lang w:eastAsia="cs-CZ"/>
    </w:rPr>
  </w:style>
  <w:style w:type="character" w:styleId="Siln">
    <w:name w:val="Strong"/>
    <w:basedOn w:val="Standardnpsmoodstavce"/>
    <w:uiPriority w:val="22"/>
    <w:qFormat/>
    <w:rsid w:val="00A20CAF"/>
    <w:rPr>
      <w:b/>
      <w:bCs/>
    </w:rPr>
  </w:style>
  <w:style w:type="character" w:styleId="Sledovanodkaz">
    <w:name w:val="FollowedHyperlink"/>
    <w:basedOn w:val="Standardnpsmoodstavce"/>
    <w:uiPriority w:val="99"/>
    <w:semiHidden/>
    <w:unhideWhenUsed/>
    <w:rsid w:val="00637D05"/>
    <w:rPr>
      <w:color w:val="954F72" w:themeColor="followedHyperlink"/>
      <w:u w:val="single"/>
    </w:rPr>
  </w:style>
  <w:style w:type="paragraph" w:styleId="Textbubliny">
    <w:name w:val="Balloon Text"/>
    <w:basedOn w:val="Normln"/>
    <w:link w:val="TextbublinyChar"/>
    <w:uiPriority w:val="99"/>
    <w:semiHidden/>
    <w:unhideWhenUsed/>
    <w:rsid w:val="00637D0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37D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89966">
      <w:bodyDiv w:val="1"/>
      <w:marLeft w:val="0"/>
      <w:marRight w:val="0"/>
      <w:marTop w:val="0"/>
      <w:marBottom w:val="0"/>
      <w:divBdr>
        <w:top w:val="none" w:sz="0" w:space="0" w:color="auto"/>
        <w:left w:val="none" w:sz="0" w:space="0" w:color="auto"/>
        <w:bottom w:val="none" w:sz="0" w:space="0" w:color="auto"/>
        <w:right w:val="none" w:sz="0" w:space="0" w:color="auto"/>
      </w:divBdr>
    </w:div>
    <w:div w:id="938293467">
      <w:bodyDiv w:val="1"/>
      <w:marLeft w:val="0"/>
      <w:marRight w:val="0"/>
      <w:marTop w:val="0"/>
      <w:marBottom w:val="0"/>
      <w:divBdr>
        <w:top w:val="none" w:sz="0" w:space="0" w:color="auto"/>
        <w:left w:val="none" w:sz="0" w:space="0" w:color="auto"/>
        <w:bottom w:val="none" w:sz="0" w:space="0" w:color="auto"/>
        <w:right w:val="none" w:sz="0" w:space="0" w:color="auto"/>
      </w:divBdr>
      <w:divsChild>
        <w:div w:id="1928344831">
          <w:marLeft w:val="0"/>
          <w:marRight w:val="0"/>
          <w:marTop w:val="0"/>
          <w:marBottom w:val="0"/>
          <w:divBdr>
            <w:top w:val="none" w:sz="0" w:space="0" w:color="auto"/>
            <w:left w:val="none" w:sz="0" w:space="0" w:color="auto"/>
            <w:bottom w:val="none" w:sz="0" w:space="0" w:color="auto"/>
            <w:right w:val="none" w:sz="0" w:space="0" w:color="auto"/>
          </w:divBdr>
          <w:divsChild>
            <w:div w:id="1399670165">
              <w:marLeft w:val="0"/>
              <w:marRight w:val="0"/>
              <w:marTop w:val="0"/>
              <w:marBottom w:val="0"/>
              <w:divBdr>
                <w:top w:val="none" w:sz="0" w:space="0" w:color="auto"/>
                <w:left w:val="none" w:sz="0" w:space="0" w:color="auto"/>
                <w:bottom w:val="none" w:sz="0" w:space="0" w:color="auto"/>
                <w:right w:val="none" w:sz="0" w:space="0" w:color="auto"/>
              </w:divBdr>
              <w:divsChild>
                <w:div w:id="701516200">
                  <w:marLeft w:val="0"/>
                  <w:marRight w:val="0"/>
                  <w:marTop w:val="0"/>
                  <w:marBottom w:val="0"/>
                  <w:divBdr>
                    <w:top w:val="none" w:sz="0" w:space="0" w:color="auto"/>
                    <w:left w:val="none" w:sz="0" w:space="0" w:color="auto"/>
                    <w:bottom w:val="none" w:sz="0" w:space="0" w:color="auto"/>
                    <w:right w:val="none" w:sz="0" w:space="0" w:color="auto"/>
                  </w:divBdr>
                  <w:divsChild>
                    <w:div w:id="13382171">
                      <w:marLeft w:val="0"/>
                      <w:marRight w:val="0"/>
                      <w:marTop w:val="240"/>
                      <w:marBottom w:val="240"/>
                      <w:divBdr>
                        <w:top w:val="none" w:sz="0" w:space="0" w:color="auto"/>
                        <w:left w:val="none" w:sz="0" w:space="0" w:color="auto"/>
                        <w:bottom w:val="none" w:sz="0" w:space="0" w:color="auto"/>
                        <w:right w:val="none" w:sz="0" w:space="0" w:color="auto"/>
                      </w:divBdr>
                    </w:div>
                    <w:div w:id="1290740208">
                      <w:marLeft w:val="0"/>
                      <w:marRight w:val="0"/>
                      <w:marTop w:val="240"/>
                      <w:marBottom w:val="240"/>
                      <w:divBdr>
                        <w:top w:val="none" w:sz="0" w:space="0" w:color="auto"/>
                        <w:left w:val="none" w:sz="0" w:space="0" w:color="auto"/>
                        <w:bottom w:val="none" w:sz="0" w:space="0" w:color="auto"/>
                        <w:right w:val="none" w:sz="0" w:space="0" w:color="auto"/>
                      </w:divBdr>
                    </w:div>
                    <w:div w:id="85463025">
                      <w:marLeft w:val="0"/>
                      <w:marRight w:val="0"/>
                      <w:marTop w:val="240"/>
                      <w:marBottom w:val="240"/>
                      <w:divBdr>
                        <w:top w:val="none" w:sz="0" w:space="0" w:color="auto"/>
                        <w:left w:val="none" w:sz="0" w:space="0" w:color="auto"/>
                        <w:bottom w:val="none" w:sz="0" w:space="0" w:color="auto"/>
                        <w:right w:val="none" w:sz="0" w:space="0" w:color="auto"/>
                      </w:divBdr>
                    </w:div>
                    <w:div w:id="34224230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59068676">
      <w:bodyDiv w:val="1"/>
      <w:marLeft w:val="0"/>
      <w:marRight w:val="0"/>
      <w:marTop w:val="0"/>
      <w:marBottom w:val="0"/>
      <w:divBdr>
        <w:top w:val="none" w:sz="0" w:space="0" w:color="auto"/>
        <w:left w:val="none" w:sz="0" w:space="0" w:color="auto"/>
        <w:bottom w:val="none" w:sz="0" w:space="0" w:color="auto"/>
        <w:right w:val="none" w:sz="0" w:space="0" w:color="auto"/>
      </w:divBdr>
      <w:divsChild>
        <w:div w:id="736170724">
          <w:marLeft w:val="0"/>
          <w:marRight w:val="0"/>
          <w:marTop w:val="300"/>
          <w:marBottom w:val="300"/>
          <w:divBdr>
            <w:top w:val="none" w:sz="0" w:space="0" w:color="auto"/>
            <w:left w:val="none" w:sz="0" w:space="0" w:color="auto"/>
            <w:bottom w:val="none" w:sz="0" w:space="0" w:color="auto"/>
            <w:right w:val="none" w:sz="0" w:space="0" w:color="auto"/>
          </w:divBdr>
          <w:divsChild>
            <w:div w:id="1069688302">
              <w:marLeft w:val="0"/>
              <w:marRight w:val="0"/>
              <w:marTop w:val="0"/>
              <w:marBottom w:val="0"/>
              <w:divBdr>
                <w:top w:val="none" w:sz="0" w:space="0" w:color="auto"/>
                <w:left w:val="none" w:sz="0" w:space="0" w:color="auto"/>
                <w:bottom w:val="none" w:sz="0" w:space="0" w:color="auto"/>
                <w:right w:val="none" w:sz="0" w:space="0" w:color="auto"/>
              </w:divBdr>
              <w:divsChild>
                <w:div w:id="1005397687">
                  <w:marLeft w:val="3150"/>
                  <w:marRight w:val="0"/>
                  <w:marTop w:val="0"/>
                  <w:marBottom w:val="0"/>
                  <w:divBdr>
                    <w:top w:val="none" w:sz="0" w:space="0" w:color="auto"/>
                    <w:left w:val="none" w:sz="0" w:space="0" w:color="auto"/>
                    <w:bottom w:val="none" w:sz="0" w:space="0" w:color="auto"/>
                    <w:right w:val="none" w:sz="0" w:space="0" w:color="auto"/>
                  </w:divBdr>
                  <w:divsChild>
                    <w:div w:id="56635450">
                      <w:marLeft w:val="0"/>
                      <w:marRight w:val="0"/>
                      <w:marTop w:val="0"/>
                      <w:marBottom w:val="0"/>
                      <w:divBdr>
                        <w:top w:val="none" w:sz="0" w:space="0" w:color="auto"/>
                        <w:left w:val="none" w:sz="0" w:space="0" w:color="auto"/>
                        <w:bottom w:val="none" w:sz="0" w:space="0" w:color="auto"/>
                        <w:right w:val="none" w:sz="0" w:space="0" w:color="auto"/>
                      </w:divBdr>
                      <w:divsChild>
                        <w:div w:id="370307116">
                          <w:marLeft w:val="0"/>
                          <w:marRight w:val="0"/>
                          <w:marTop w:val="0"/>
                          <w:marBottom w:val="0"/>
                          <w:divBdr>
                            <w:top w:val="none" w:sz="0" w:space="0" w:color="auto"/>
                            <w:left w:val="none" w:sz="0" w:space="0" w:color="auto"/>
                            <w:bottom w:val="none" w:sz="0" w:space="0" w:color="auto"/>
                            <w:right w:val="none" w:sz="0" w:space="0" w:color="auto"/>
                          </w:divBdr>
                          <w:divsChild>
                            <w:div w:id="93182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vnuf.cz/sbornik/prispevky/13-03-Bochnicek.html" TargetMode="External"/><Relationship Id="rId5" Type="http://schemas.openxmlformats.org/officeDocument/2006/relationships/image" Target="media/image1.jpeg"/><Relationship Id="rId15" Type="http://schemas.openxmlformats.org/officeDocument/2006/relationships/hyperlink" Target="https://www.webchemie.cz/luminiscence.html" TargetMode="External"/><Relationship Id="rId10" Type="http://schemas.openxmlformats.org/officeDocument/2006/relationships/hyperlink" Target="http://fyzikalnipokusy.cz/1627/propustnost-plastu-pro-tepelne-zareni" TargetMode="External"/><Relationship Id="rId4" Type="http://schemas.openxmlformats.org/officeDocument/2006/relationships/webSettings" Target="webSettings.xml"/><Relationship Id="rId9" Type="http://schemas.openxmlformats.org/officeDocument/2006/relationships/hyperlink" Target="http://vnuf.cz/sbornik/prispevky/15-24-Polak.html" TargetMode="External"/><Relationship Id="rId14" Type="http://schemas.openxmlformats.org/officeDocument/2006/relationships/image" Target="media/image7.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635</TotalTime>
  <Pages>5</Pages>
  <Words>1657</Words>
  <Characters>9783</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SSPS</Company>
  <LinksUpToDate>false</LinksUpToDate>
  <CharactersWithSpaces>11418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Krajčová Věra</dc:creator>
  <cp:keywords/>
  <dc:description/>
  <cp:lastModifiedBy>Krajčová Věra</cp:lastModifiedBy>
  <cp:revision>2</cp:revision>
  <cp:lastPrinted>2018-12-13T12:43:00Z</cp:lastPrinted>
  <dcterms:created xsi:type="dcterms:W3CDTF">2018-12-12T21:49:00Z</dcterms:created>
  <dcterms:modified xsi:type="dcterms:W3CDTF">2018-12-13T12:43:00Z</dcterms:modified>
</cp:coreProperties>
</file>